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295DE">
      <w:pPr>
        <w:widowControl/>
        <w:tabs>
          <w:tab w:val="left" w:pos="0"/>
        </w:tabs>
        <w:suppressAutoHyphens/>
        <w:rPr>
          <w:spacing w:val="-3"/>
          <w:szCs w:val="20"/>
        </w:rPr>
      </w:pPr>
    </w:p>
    <w:p w14:paraId="3CE04637">
      <w:pPr>
        <w:widowControl/>
        <w:tabs>
          <w:tab w:val="left" w:pos="0"/>
        </w:tabs>
        <w:suppressAutoHyphens/>
        <w:rPr>
          <w:spacing w:val="-3"/>
          <w:sz w:val="20"/>
          <w:szCs w:val="20"/>
        </w:rPr>
      </w:pPr>
    </w:p>
    <w:p w14:paraId="0E614BF1">
      <w:pPr>
        <w:widowControl/>
        <w:tabs>
          <w:tab w:val="left" w:pos="0"/>
        </w:tabs>
        <w:suppressAutoHyphens/>
        <w:rPr>
          <w:spacing w:val="-3"/>
          <w:sz w:val="20"/>
          <w:szCs w:val="20"/>
        </w:rPr>
      </w:pPr>
    </w:p>
    <w:p w14:paraId="52AA4AE4">
      <w:pPr>
        <w:widowControl/>
        <w:tabs>
          <w:tab w:val="left" w:pos="0"/>
        </w:tabs>
        <w:suppressAutoHyphens/>
        <w:spacing w:line="360" w:lineRule="auto"/>
        <w:rPr>
          <w:spacing w:val="-3"/>
          <w:sz w:val="20"/>
          <w:szCs w:val="20"/>
          <w:u w:val="single"/>
        </w:rPr>
      </w:pPr>
    </w:p>
    <w:p w14:paraId="737B9633">
      <w:pPr>
        <w:widowControl/>
        <w:tabs>
          <w:tab w:val="left" w:pos="0"/>
        </w:tabs>
        <w:suppressAutoHyphens/>
        <w:spacing w:line="360" w:lineRule="auto"/>
        <w:rPr>
          <w:spacing w:val="-3"/>
          <w:sz w:val="20"/>
          <w:szCs w:val="20"/>
          <w:u w:val="single"/>
        </w:rPr>
      </w:pPr>
    </w:p>
    <w:p w14:paraId="57C3433C">
      <w:pPr>
        <w:widowControl/>
        <w:tabs>
          <w:tab w:val="left" w:pos="0"/>
        </w:tabs>
        <w:suppressAutoHyphens/>
        <w:spacing w:line="360" w:lineRule="auto"/>
        <w:rPr>
          <w:spacing w:val="-3"/>
          <w:sz w:val="20"/>
          <w:szCs w:val="20"/>
          <w:u w:val="single"/>
        </w:rPr>
      </w:pPr>
    </w:p>
    <w:p w14:paraId="652D66A2">
      <w:pPr>
        <w:widowControl/>
        <w:tabs>
          <w:tab w:val="left" w:pos="0"/>
        </w:tabs>
        <w:suppressAutoHyphens/>
        <w:spacing w:line="360" w:lineRule="auto"/>
        <w:rPr>
          <w:spacing w:val="-3"/>
          <w:sz w:val="20"/>
          <w:szCs w:val="20"/>
          <w:u w:val="single"/>
        </w:rPr>
      </w:pPr>
    </w:p>
    <w:p w14:paraId="033DAE2C">
      <w:pPr>
        <w:widowControl/>
        <w:tabs>
          <w:tab w:val="left" w:pos="0"/>
        </w:tabs>
        <w:suppressAutoHyphens/>
        <w:spacing w:line="360" w:lineRule="auto"/>
        <w:rPr>
          <w:spacing w:val="-3"/>
          <w:sz w:val="20"/>
          <w:szCs w:val="20"/>
          <w:u w:val="single"/>
        </w:rPr>
      </w:pPr>
    </w:p>
    <w:p w14:paraId="3D848083">
      <w:pPr>
        <w:jc w:val="center"/>
        <w:rPr>
          <w:rFonts w:ascii="楷体" w:hAnsi="楷体" w:eastAsia="楷体"/>
          <w:b/>
          <w:bCs/>
          <w:sz w:val="72"/>
          <w:szCs w:val="36"/>
        </w:rPr>
      </w:pPr>
      <w:r>
        <w:rPr>
          <w:rFonts w:hint="eastAsia" w:ascii="楷体" w:hAnsi="楷体" w:eastAsia="楷体"/>
          <w:b/>
          <w:bCs/>
          <w:sz w:val="72"/>
          <w:szCs w:val="36"/>
        </w:rPr>
        <w:t>招 标 文 件</w:t>
      </w:r>
    </w:p>
    <w:p w14:paraId="7882FCA0">
      <w:pPr>
        <w:jc w:val="center"/>
        <w:rPr>
          <w:rFonts w:ascii="黑体" w:eastAsia="黑体"/>
          <w:b/>
          <w:bCs/>
          <w:sz w:val="28"/>
          <w:szCs w:val="28"/>
        </w:rPr>
      </w:pPr>
    </w:p>
    <w:p w14:paraId="5DABFAE2">
      <w:pPr>
        <w:jc w:val="center"/>
        <w:rPr>
          <w:rFonts w:ascii="黑体" w:eastAsia="黑体"/>
          <w:b/>
          <w:bCs/>
          <w:sz w:val="28"/>
          <w:szCs w:val="28"/>
        </w:rPr>
      </w:pPr>
    </w:p>
    <w:p w14:paraId="6C0F090F">
      <w:pPr>
        <w:jc w:val="center"/>
        <w:rPr>
          <w:rFonts w:ascii="楷体" w:hAnsi="楷体" w:eastAsia="楷体"/>
          <w:b/>
          <w:bCs/>
          <w:sz w:val="28"/>
          <w:szCs w:val="36"/>
        </w:rPr>
      </w:pPr>
      <w:r>
        <w:rPr>
          <w:rFonts w:hint="eastAsia" w:ascii="楷体" w:hAnsi="楷体" w:eastAsia="楷体"/>
          <w:b/>
          <w:bCs/>
          <w:sz w:val="28"/>
          <w:szCs w:val="36"/>
        </w:rPr>
        <w:t>项目名称：</w:t>
      </w:r>
    </w:p>
    <w:p w14:paraId="7C5DAF33">
      <w:pPr>
        <w:jc w:val="center"/>
        <w:rPr>
          <w:rFonts w:hint="default" w:ascii="楷体" w:hAnsi="楷体" w:eastAsia="楷体" w:cstheme="minorBidi"/>
          <w:b/>
          <w:bCs/>
          <w:kern w:val="2"/>
          <w:sz w:val="28"/>
          <w:szCs w:val="36"/>
          <w:lang w:val="en-US" w:eastAsia="zh-CN" w:bidi="ar-SA"/>
        </w:rPr>
      </w:pPr>
      <w:r>
        <w:rPr>
          <w:rFonts w:hint="eastAsia" w:ascii="楷体" w:hAnsi="楷体" w:eastAsia="楷体"/>
          <w:b/>
          <w:bCs/>
          <w:sz w:val="28"/>
          <w:szCs w:val="36"/>
        </w:rPr>
        <w:t>南昌大学第一附属医院赣江新区医院（赣江新区人民医院）</w:t>
      </w:r>
      <w:r>
        <w:rPr>
          <w:rFonts w:hint="eastAsia" w:ascii="楷体" w:hAnsi="楷体" w:eastAsia="楷体" w:cstheme="minorBidi"/>
          <w:b/>
          <w:bCs/>
          <w:kern w:val="2"/>
          <w:sz w:val="28"/>
          <w:szCs w:val="36"/>
          <w:lang w:val="en-US" w:eastAsia="zh-CN" w:bidi="ar-SA"/>
        </w:rPr>
        <w:t>工程造价咨询服务采购</w:t>
      </w:r>
    </w:p>
    <w:p w14:paraId="20138A49">
      <w:pPr>
        <w:widowControl/>
        <w:tabs>
          <w:tab w:val="left" w:pos="0"/>
        </w:tabs>
        <w:suppressAutoHyphens/>
        <w:spacing w:line="480" w:lineRule="auto"/>
        <w:rPr>
          <w:spacing w:val="-3"/>
          <w:sz w:val="20"/>
          <w:szCs w:val="20"/>
          <w:u w:val="single"/>
        </w:rPr>
      </w:pPr>
    </w:p>
    <w:p w14:paraId="260DBD98">
      <w:pPr>
        <w:widowControl/>
        <w:tabs>
          <w:tab w:val="left" w:pos="0"/>
        </w:tabs>
        <w:suppressAutoHyphens/>
        <w:spacing w:line="480" w:lineRule="auto"/>
        <w:rPr>
          <w:spacing w:val="-3"/>
          <w:sz w:val="20"/>
          <w:szCs w:val="20"/>
          <w:u w:val="single"/>
        </w:rPr>
      </w:pPr>
    </w:p>
    <w:p w14:paraId="64D0C4E2">
      <w:pPr>
        <w:widowControl/>
        <w:tabs>
          <w:tab w:val="left" w:pos="0"/>
        </w:tabs>
        <w:suppressAutoHyphens/>
        <w:spacing w:line="480" w:lineRule="auto"/>
        <w:rPr>
          <w:spacing w:val="-3"/>
          <w:sz w:val="20"/>
          <w:szCs w:val="20"/>
          <w:u w:val="single"/>
        </w:rPr>
      </w:pPr>
    </w:p>
    <w:p w14:paraId="160D6440">
      <w:pPr>
        <w:widowControl/>
        <w:tabs>
          <w:tab w:val="left" w:pos="0"/>
        </w:tabs>
        <w:suppressAutoHyphens/>
        <w:spacing w:line="480" w:lineRule="auto"/>
        <w:rPr>
          <w:spacing w:val="-3"/>
          <w:sz w:val="20"/>
          <w:szCs w:val="20"/>
          <w:u w:val="single"/>
        </w:rPr>
      </w:pPr>
    </w:p>
    <w:p w14:paraId="28E26039">
      <w:pPr>
        <w:widowControl/>
        <w:tabs>
          <w:tab w:val="left" w:pos="0"/>
        </w:tabs>
        <w:suppressAutoHyphens/>
        <w:spacing w:line="480" w:lineRule="auto"/>
        <w:rPr>
          <w:spacing w:val="-3"/>
          <w:sz w:val="20"/>
          <w:szCs w:val="20"/>
          <w:u w:val="single"/>
        </w:rPr>
      </w:pPr>
    </w:p>
    <w:p w14:paraId="648EF528">
      <w:pPr>
        <w:widowControl/>
        <w:tabs>
          <w:tab w:val="left" w:pos="0"/>
        </w:tabs>
        <w:suppressAutoHyphens/>
        <w:spacing w:line="480" w:lineRule="auto"/>
        <w:rPr>
          <w:spacing w:val="-3"/>
          <w:sz w:val="20"/>
          <w:szCs w:val="20"/>
          <w:u w:val="single"/>
        </w:rPr>
      </w:pPr>
    </w:p>
    <w:p w14:paraId="162944BD">
      <w:pPr>
        <w:widowControl/>
        <w:tabs>
          <w:tab w:val="left" w:pos="0"/>
        </w:tabs>
        <w:suppressAutoHyphens/>
        <w:spacing w:line="480" w:lineRule="auto"/>
        <w:rPr>
          <w:spacing w:val="-3"/>
          <w:sz w:val="20"/>
          <w:szCs w:val="20"/>
          <w:u w:val="single"/>
        </w:rPr>
      </w:pPr>
    </w:p>
    <w:p w14:paraId="7648B6EF">
      <w:pPr>
        <w:widowControl/>
        <w:tabs>
          <w:tab w:val="left" w:pos="0"/>
        </w:tabs>
        <w:suppressAutoHyphens/>
        <w:spacing w:line="360" w:lineRule="auto"/>
        <w:rPr>
          <w:b/>
          <w:bCs/>
          <w:spacing w:val="-3"/>
          <w:sz w:val="32"/>
          <w:szCs w:val="32"/>
        </w:rPr>
      </w:pPr>
      <w:r>
        <w:rPr>
          <w:rFonts w:hint="eastAsia"/>
          <w:b/>
          <w:bCs/>
          <w:spacing w:val="-3"/>
          <w:sz w:val="32"/>
          <w:szCs w:val="32"/>
        </w:rPr>
        <w:t>南昌大学第一附属医院赣江新区医院（赣江新区人民医院）</w:t>
      </w:r>
    </w:p>
    <w:p w14:paraId="19C48F77">
      <w:pPr>
        <w:widowControl/>
        <w:tabs>
          <w:tab w:val="left" w:pos="0"/>
        </w:tabs>
        <w:suppressAutoHyphens/>
        <w:spacing w:line="360" w:lineRule="auto"/>
        <w:ind w:firstLine="600"/>
        <w:jc w:val="center"/>
        <w:rPr>
          <w:b/>
          <w:bCs/>
          <w:spacing w:val="-3"/>
          <w:sz w:val="32"/>
          <w:szCs w:val="32"/>
        </w:rPr>
      </w:pPr>
      <w:r>
        <w:rPr>
          <w:rFonts w:hint="eastAsia"/>
          <w:b/>
          <w:bCs/>
          <w:spacing w:val="-3"/>
          <w:sz w:val="32"/>
          <w:szCs w:val="32"/>
        </w:rPr>
        <w:t>二○二</w:t>
      </w:r>
      <w:r>
        <w:rPr>
          <w:rFonts w:hint="eastAsia"/>
          <w:b/>
          <w:bCs/>
          <w:spacing w:val="-3"/>
          <w:sz w:val="32"/>
          <w:szCs w:val="32"/>
          <w:lang w:val="en-US" w:eastAsia="zh-CN"/>
        </w:rPr>
        <w:t>五</w:t>
      </w:r>
      <w:r>
        <w:rPr>
          <w:rFonts w:hint="eastAsia"/>
          <w:b/>
          <w:bCs/>
          <w:spacing w:val="-3"/>
          <w:sz w:val="32"/>
          <w:szCs w:val="32"/>
        </w:rPr>
        <w:t>年</w:t>
      </w:r>
      <w:r>
        <w:rPr>
          <w:rFonts w:hint="eastAsia"/>
          <w:b/>
          <w:bCs/>
          <w:spacing w:val="-3"/>
          <w:sz w:val="32"/>
          <w:szCs w:val="32"/>
          <w:lang w:val="en-US" w:eastAsia="zh-CN"/>
        </w:rPr>
        <w:t>三</w:t>
      </w:r>
      <w:r>
        <w:rPr>
          <w:rFonts w:hint="eastAsia"/>
          <w:b/>
          <w:bCs/>
          <w:spacing w:val="-3"/>
          <w:sz w:val="32"/>
          <w:szCs w:val="32"/>
        </w:rPr>
        <w:t>月</w:t>
      </w:r>
    </w:p>
    <w:p w14:paraId="67AD6667">
      <w:pPr>
        <w:pStyle w:val="51"/>
        <w:spacing w:before="240" w:after="240"/>
        <w:outlineLvl w:val="9"/>
        <w:rPr>
          <w:rFonts w:ascii="Times New Roman" w:hAnsi="Times New Roman" w:eastAsia="宋体" w:cstheme="minorBidi"/>
          <w:b/>
          <w:bCs/>
          <w:kern w:val="44"/>
          <w:sz w:val="30"/>
          <w:szCs w:val="44"/>
          <w:lang w:val="en-US" w:eastAsia="zh-CN" w:bidi="ar-SA"/>
        </w:rPr>
      </w:pPr>
      <w:bookmarkStart w:id="0" w:name="_Toc365033666"/>
      <w:bookmarkStart w:id="1" w:name="_Toc524470380"/>
      <w:bookmarkStart w:id="2" w:name="_Toc524533976"/>
      <w:bookmarkStart w:id="3" w:name="_Toc13134"/>
      <w:bookmarkStart w:id="4" w:name="_Toc524685883"/>
      <w:r>
        <w:rPr>
          <w:rStyle w:val="37"/>
          <w:rFonts w:hint="eastAsia"/>
          <w:b/>
          <w:bCs w:val="0"/>
        </w:rPr>
        <w:t>目  录</w:t>
      </w:r>
      <w:bookmarkEnd w:id="0"/>
      <w:bookmarkEnd w:id="1"/>
      <w:bookmarkEnd w:id="2"/>
      <w:bookmarkEnd w:id="3"/>
      <w:bookmarkEnd w:id="4"/>
      <w:r>
        <w:rPr>
          <w:b w:val="0"/>
          <w:bCs w:val="0"/>
          <w:kern w:val="2"/>
          <w:sz w:val="24"/>
          <w:szCs w:val="22"/>
        </w:rPr>
        <w:fldChar w:fldCharType="begin"/>
      </w:r>
      <w:r>
        <w:instrText xml:space="preserve"> TOC \o "1-4" \h \z \u </w:instrText>
      </w:r>
      <w:r>
        <w:rPr>
          <w:b w:val="0"/>
          <w:bCs w:val="0"/>
          <w:kern w:val="2"/>
          <w:sz w:val="24"/>
          <w:szCs w:val="22"/>
        </w:rPr>
        <w:fldChar w:fldCharType="separate"/>
      </w:r>
    </w:p>
    <w:p w14:paraId="12FC18C3">
      <w:pPr>
        <w:pStyle w:val="20"/>
        <w:tabs>
          <w:tab w:val="right" w:leader="dot" w:pos="8675"/>
        </w:tabs>
      </w:pPr>
      <w:r>
        <w:fldChar w:fldCharType="begin"/>
      </w:r>
      <w:r>
        <w:instrText xml:space="preserve"> HYPERLINK \l _Toc13134 </w:instrText>
      </w:r>
      <w:r>
        <w:fldChar w:fldCharType="separate"/>
      </w:r>
      <w:r>
        <w:rPr>
          <w:rFonts w:hint="eastAsia"/>
          <w:bCs w:val="0"/>
        </w:rPr>
        <w:t>目  录</w:t>
      </w:r>
      <w:r>
        <w:tab/>
      </w:r>
      <w:r>
        <w:fldChar w:fldCharType="begin"/>
      </w:r>
      <w:r>
        <w:instrText xml:space="preserve"> PAGEREF _Toc13134 \h </w:instrText>
      </w:r>
      <w:r>
        <w:fldChar w:fldCharType="separate"/>
      </w:r>
      <w:r>
        <w:t>ii</w:t>
      </w:r>
      <w:r>
        <w:fldChar w:fldCharType="end"/>
      </w:r>
      <w:r>
        <w:fldChar w:fldCharType="end"/>
      </w:r>
    </w:p>
    <w:p w14:paraId="38898DA5">
      <w:pPr>
        <w:pStyle w:val="20"/>
        <w:tabs>
          <w:tab w:val="right" w:leader="dot" w:pos="8675"/>
        </w:tabs>
      </w:pPr>
      <w:r>
        <w:fldChar w:fldCharType="begin"/>
      </w:r>
      <w:r>
        <w:instrText xml:space="preserve"> HYPERLINK \l _Toc7011 </w:instrText>
      </w:r>
      <w:r>
        <w:fldChar w:fldCharType="separate"/>
      </w:r>
      <w:r>
        <w:rPr>
          <w:rFonts w:hint="eastAsia"/>
        </w:rPr>
        <w:t>第一章 投标邀请</w:t>
      </w:r>
      <w:r>
        <w:tab/>
      </w:r>
      <w:r>
        <w:fldChar w:fldCharType="begin"/>
      </w:r>
      <w:r>
        <w:instrText xml:space="preserve"> PAGEREF _Toc7011 \h </w:instrText>
      </w:r>
      <w:r>
        <w:fldChar w:fldCharType="separate"/>
      </w:r>
      <w:r>
        <w:t>1</w:t>
      </w:r>
      <w:r>
        <w:fldChar w:fldCharType="end"/>
      </w:r>
      <w:r>
        <w:fldChar w:fldCharType="end"/>
      </w:r>
    </w:p>
    <w:p w14:paraId="4204271A">
      <w:pPr>
        <w:pStyle w:val="20"/>
        <w:tabs>
          <w:tab w:val="right" w:leader="dot" w:pos="8675"/>
        </w:tabs>
      </w:pPr>
      <w:r>
        <w:fldChar w:fldCharType="begin"/>
      </w:r>
      <w:r>
        <w:instrText xml:space="preserve"> HYPERLINK \l _Toc18401 </w:instrText>
      </w:r>
      <w:r>
        <w:fldChar w:fldCharType="separate"/>
      </w:r>
      <w:r>
        <w:rPr>
          <w:rFonts w:hint="eastAsia"/>
        </w:rPr>
        <w:t xml:space="preserve">第二章 </w:t>
      </w:r>
      <w:r>
        <w:t>投标</w:t>
      </w:r>
      <w:r>
        <w:rPr>
          <w:rFonts w:hint="eastAsia"/>
        </w:rPr>
        <w:t>人</w:t>
      </w:r>
      <w:r>
        <w:t>须知</w:t>
      </w:r>
      <w:r>
        <w:tab/>
      </w:r>
      <w:r>
        <w:fldChar w:fldCharType="begin"/>
      </w:r>
      <w:r>
        <w:instrText xml:space="preserve"> PAGEREF _Toc18401 \h </w:instrText>
      </w:r>
      <w:r>
        <w:fldChar w:fldCharType="separate"/>
      </w:r>
      <w:r>
        <w:t>- 5 -</w:t>
      </w:r>
      <w:r>
        <w:fldChar w:fldCharType="end"/>
      </w:r>
      <w:r>
        <w:fldChar w:fldCharType="end"/>
      </w:r>
    </w:p>
    <w:p w14:paraId="0087119D">
      <w:pPr>
        <w:pStyle w:val="24"/>
        <w:tabs>
          <w:tab w:val="right" w:leader="dot" w:pos="8675"/>
        </w:tabs>
      </w:pPr>
      <w:r>
        <w:fldChar w:fldCharType="begin"/>
      </w:r>
      <w:r>
        <w:instrText xml:space="preserve"> HYPERLINK \l _Toc21153 </w:instrText>
      </w:r>
      <w:r>
        <w:fldChar w:fldCharType="separate"/>
      </w:r>
      <w:r>
        <w:t>一</w:t>
      </w:r>
      <w:r>
        <w:rPr>
          <w:rFonts w:hint="eastAsia"/>
        </w:rPr>
        <w:t>、</w:t>
      </w:r>
      <w:r>
        <w:t>招</w:t>
      </w:r>
      <w:r>
        <w:rPr>
          <w:rFonts w:hint="eastAsia"/>
        </w:rPr>
        <w:t xml:space="preserve"> </w:t>
      </w:r>
      <w:r>
        <w:t>标</w:t>
      </w:r>
      <w:r>
        <w:tab/>
      </w:r>
      <w:r>
        <w:fldChar w:fldCharType="begin"/>
      </w:r>
      <w:r>
        <w:instrText xml:space="preserve"> PAGEREF _Toc21153 \h </w:instrText>
      </w:r>
      <w:r>
        <w:fldChar w:fldCharType="separate"/>
      </w:r>
      <w:r>
        <w:t>- 5 -</w:t>
      </w:r>
      <w:r>
        <w:fldChar w:fldCharType="end"/>
      </w:r>
      <w:r>
        <w:fldChar w:fldCharType="end"/>
      </w:r>
    </w:p>
    <w:p w14:paraId="426578FF">
      <w:pPr>
        <w:pStyle w:val="13"/>
        <w:tabs>
          <w:tab w:val="right" w:leader="dot" w:pos="8675"/>
        </w:tabs>
      </w:pPr>
      <w:r>
        <w:fldChar w:fldCharType="begin"/>
      </w:r>
      <w:r>
        <w:instrText xml:space="preserve"> HYPERLINK \l _Toc1638 </w:instrText>
      </w:r>
      <w:r>
        <w:fldChar w:fldCharType="separate"/>
      </w:r>
      <w:r>
        <w:rPr>
          <w:rFonts w:hint="eastAsia"/>
        </w:rPr>
        <w:t>（一）适用范围</w:t>
      </w:r>
      <w:r>
        <w:tab/>
      </w:r>
      <w:r>
        <w:fldChar w:fldCharType="begin"/>
      </w:r>
      <w:r>
        <w:instrText xml:space="preserve"> PAGEREF _Toc1638 \h </w:instrText>
      </w:r>
      <w:r>
        <w:fldChar w:fldCharType="separate"/>
      </w:r>
      <w:r>
        <w:t>- 5 -</w:t>
      </w:r>
      <w:r>
        <w:fldChar w:fldCharType="end"/>
      </w:r>
      <w:r>
        <w:fldChar w:fldCharType="end"/>
      </w:r>
    </w:p>
    <w:p w14:paraId="536BC0CE">
      <w:pPr>
        <w:pStyle w:val="13"/>
        <w:tabs>
          <w:tab w:val="right" w:leader="dot" w:pos="8675"/>
        </w:tabs>
      </w:pPr>
      <w:r>
        <w:fldChar w:fldCharType="begin"/>
      </w:r>
      <w:r>
        <w:instrText xml:space="preserve"> HYPERLINK \l _Toc8442 </w:instrText>
      </w:r>
      <w:r>
        <w:fldChar w:fldCharType="separate"/>
      </w:r>
      <w:r>
        <w:rPr>
          <w:rFonts w:hint="eastAsia"/>
        </w:rPr>
        <w:t>（二）合格投标人</w:t>
      </w:r>
      <w:r>
        <w:tab/>
      </w:r>
      <w:r>
        <w:fldChar w:fldCharType="begin"/>
      </w:r>
      <w:r>
        <w:instrText xml:space="preserve"> PAGEREF _Toc8442 \h </w:instrText>
      </w:r>
      <w:r>
        <w:fldChar w:fldCharType="separate"/>
      </w:r>
      <w:r>
        <w:t>- 5 -</w:t>
      </w:r>
      <w:r>
        <w:fldChar w:fldCharType="end"/>
      </w:r>
      <w:r>
        <w:fldChar w:fldCharType="end"/>
      </w:r>
    </w:p>
    <w:p w14:paraId="7FF43AA3">
      <w:pPr>
        <w:pStyle w:val="13"/>
        <w:tabs>
          <w:tab w:val="right" w:leader="dot" w:pos="8675"/>
        </w:tabs>
      </w:pPr>
      <w:r>
        <w:fldChar w:fldCharType="begin"/>
      </w:r>
      <w:r>
        <w:instrText xml:space="preserve"> HYPERLINK \l _Toc22977 </w:instrText>
      </w:r>
      <w:r>
        <w:fldChar w:fldCharType="separate"/>
      </w:r>
      <w:r>
        <w:rPr>
          <w:rFonts w:hint="eastAsia"/>
        </w:rPr>
        <w:t>（三）投标费用</w:t>
      </w:r>
      <w:r>
        <w:tab/>
      </w:r>
      <w:r>
        <w:fldChar w:fldCharType="begin"/>
      </w:r>
      <w:r>
        <w:instrText xml:space="preserve"> PAGEREF _Toc22977 \h </w:instrText>
      </w:r>
      <w:r>
        <w:fldChar w:fldCharType="separate"/>
      </w:r>
      <w:r>
        <w:t>- 5 -</w:t>
      </w:r>
      <w:r>
        <w:fldChar w:fldCharType="end"/>
      </w:r>
      <w:r>
        <w:fldChar w:fldCharType="end"/>
      </w:r>
    </w:p>
    <w:p w14:paraId="49E38E9C">
      <w:pPr>
        <w:pStyle w:val="13"/>
        <w:tabs>
          <w:tab w:val="right" w:leader="dot" w:pos="8675"/>
        </w:tabs>
      </w:pPr>
      <w:r>
        <w:fldChar w:fldCharType="begin"/>
      </w:r>
      <w:r>
        <w:instrText xml:space="preserve"> HYPERLINK \l _Toc22360 </w:instrText>
      </w:r>
      <w:r>
        <w:fldChar w:fldCharType="separate"/>
      </w:r>
      <w:r>
        <w:rPr>
          <w:rFonts w:hint="eastAsia"/>
        </w:rPr>
        <w:t>（四）投标人代表</w:t>
      </w:r>
      <w:r>
        <w:tab/>
      </w:r>
      <w:r>
        <w:fldChar w:fldCharType="begin"/>
      </w:r>
      <w:r>
        <w:instrText xml:space="preserve"> PAGEREF _Toc22360 \h </w:instrText>
      </w:r>
      <w:r>
        <w:fldChar w:fldCharType="separate"/>
      </w:r>
      <w:r>
        <w:t>- 5 -</w:t>
      </w:r>
      <w:r>
        <w:fldChar w:fldCharType="end"/>
      </w:r>
      <w:r>
        <w:fldChar w:fldCharType="end"/>
      </w:r>
    </w:p>
    <w:p w14:paraId="766CD6E1">
      <w:pPr>
        <w:pStyle w:val="13"/>
        <w:tabs>
          <w:tab w:val="right" w:leader="dot" w:pos="8675"/>
        </w:tabs>
      </w:pPr>
      <w:r>
        <w:fldChar w:fldCharType="begin"/>
      </w:r>
      <w:r>
        <w:instrText xml:space="preserve"> HYPERLINK \l _Toc25218 </w:instrText>
      </w:r>
      <w:r>
        <w:fldChar w:fldCharType="separate"/>
      </w:r>
      <w:r>
        <w:rPr>
          <w:rFonts w:hint="eastAsia"/>
        </w:rPr>
        <w:t>（五）招标文件的构成</w:t>
      </w:r>
      <w:r>
        <w:tab/>
      </w:r>
      <w:r>
        <w:fldChar w:fldCharType="begin"/>
      </w:r>
      <w:r>
        <w:instrText xml:space="preserve"> PAGEREF _Toc25218 \h </w:instrText>
      </w:r>
      <w:r>
        <w:fldChar w:fldCharType="separate"/>
      </w:r>
      <w:r>
        <w:t>- 5 -</w:t>
      </w:r>
      <w:r>
        <w:fldChar w:fldCharType="end"/>
      </w:r>
      <w:r>
        <w:fldChar w:fldCharType="end"/>
      </w:r>
    </w:p>
    <w:p w14:paraId="7155D030">
      <w:pPr>
        <w:pStyle w:val="13"/>
        <w:tabs>
          <w:tab w:val="right" w:leader="dot" w:pos="8675"/>
        </w:tabs>
      </w:pPr>
      <w:r>
        <w:fldChar w:fldCharType="begin"/>
      </w:r>
      <w:r>
        <w:instrText xml:space="preserve"> HYPERLINK \l _Toc552 </w:instrText>
      </w:r>
      <w:r>
        <w:fldChar w:fldCharType="separate"/>
      </w:r>
      <w:r>
        <w:rPr>
          <w:rFonts w:hint="eastAsia"/>
        </w:rPr>
        <w:t>（六）投标人应当提交的资格、资信证明文件的要求</w:t>
      </w:r>
      <w:r>
        <w:tab/>
      </w:r>
      <w:r>
        <w:fldChar w:fldCharType="begin"/>
      </w:r>
      <w:r>
        <w:instrText xml:space="preserve"> PAGEREF _Toc552 \h </w:instrText>
      </w:r>
      <w:r>
        <w:fldChar w:fldCharType="separate"/>
      </w:r>
      <w:r>
        <w:t>- 6 -</w:t>
      </w:r>
      <w:r>
        <w:fldChar w:fldCharType="end"/>
      </w:r>
      <w:r>
        <w:fldChar w:fldCharType="end"/>
      </w:r>
    </w:p>
    <w:p w14:paraId="4F5929B5">
      <w:pPr>
        <w:pStyle w:val="24"/>
        <w:tabs>
          <w:tab w:val="right" w:leader="dot" w:pos="8675"/>
        </w:tabs>
      </w:pPr>
      <w:r>
        <w:fldChar w:fldCharType="begin"/>
      </w:r>
      <w:r>
        <w:instrText xml:space="preserve"> HYPERLINK \l _Toc14583 </w:instrText>
      </w:r>
      <w:r>
        <w:fldChar w:fldCharType="separate"/>
      </w:r>
      <w:r>
        <w:rPr>
          <w:rFonts w:hint="eastAsia"/>
        </w:rPr>
        <w:t>二、投 标</w:t>
      </w:r>
      <w:r>
        <w:tab/>
      </w:r>
      <w:r>
        <w:fldChar w:fldCharType="begin"/>
      </w:r>
      <w:r>
        <w:instrText xml:space="preserve"> PAGEREF _Toc14583 \h </w:instrText>
      </w:r>
      <w:r>
        <w:fldChar w:fldCharType="separate"/>
      </w:r>
      <w:r>
        <w:t>- 6 -</w:t>
      </w:r>
      <w:r>
        <w:fldChar w:fldCharType="end"/>
      </w:r>
      <w:r>
        <w:fldChar w:fldCharType="end"/>
      </w:r>
    </w:p>
    <w:p w14:paraId="60EA9A18">
      <w:pPr>
        <w:pStyle w:val="13"/>
        <w:tabs>
          <w:tab w:val="right" w:leader="dot" w:pos="8675"/>
        </w:tabs>
      </w:pPr>
      <w:r>
        <w:fldChar w:fldCharType="begin"/>
      </w:r>
      <w:r>
        <w:instrText xml:space="preserve"> HYPERLINK \l _Toc1971 </w:instrText>
      </w:r>
      <w:r>
        <w:fldChar w:fldCharType="separate"/>
      </w:r>
      <w:r>
        <w:rPr>
          <w:rFonts w:hint="eastAsia"/>
        </w:rPr>
        <w:t>（一）投标文件</w:t>
      </w:r>
      <w:r>
        <w:t>的编制</w:t>
      </w:r>
      <w:r>
        <w:tab/>
      </w:r>
      <w:r>
        <w:fldChar w:fldCharType="begin"/>
      </w:r>
      <w:r>
        <w:instrText xml:space="preserve"> PAGEREF _Toc1971 \h </w:instrText>
      </w:r>
      <w:r>
        <w:fldChar w:fldCharType="separate"/>
      </w:r>
      <w:r>
        <w:t>- 6 -</w:t>
      </w:r>
      <w:r>
        <w:fldChar w:fldCharType="end"/>
      </w:r>
      <w:r>
        <w:fldChar w:fldCharType="end"/>
      </w:r>
    </w:p>
    <w:p w14:paraId="226EDEA2">
      <w:pPr>
        <w:pStyle w:val="13"/>
        <w:tabs>
          <w:tab w:val="right" w:leader="dot" w:pos="8675"/>
        </w:tabs>
      </w:pPr>
      <w:r>
        <w:fldChar w:fldCharType="begin"/>
      </w:r>
      <w:r>
        <w:instrText xml:space="preserve"> HYPERLINK \l _Toc25780 </w:instrText>
      </w:r>
      <w:r>
        <w:fldChar w:fldCharType="separate"/>
      </w:r>
      <w:r>
        <w:rPr>
          <w:rFonts w:hint="eastAsia"/>
        </w:rPr>
        <w:t>（二）投标文件计量单位</w:t>
      </w:r>
      <w:r>
        <w:tab/>
      </w:r>
      <w:r>
        <w:fldChar w:fldCharType="begin"/>
      </w:r>
      <w:r>
        <w:instrText xml:space="preserve"> PAGEREF _Toc25780 \h </w:instrText>
      </w:r>
      <w:r>
        <w:fldChar w:fldCharType="separate"/>
      </w:r>
      <w:r>
        <w:t>- 6 -</w:t>
      </w:r>
      <w:r>
        <w:fldChar w:fldCharType="end"/>
      </w:r>
      <w:r>
        <w:fldChar w:fldCharType="end"/>
      </w:r>
    </w:p>
    <w:p w14:paraId="7179AAB0">
      <w:pPr>
        <w:pStyle w:val="13"/>
        <w:tabs>
          <w:tab w:val="right" w:leader="dot" w:pos="8675"/>
        </w:tabs>
      </w:pPr>
      <w:r>
        <w:fldChar w:fldCharType="begin"/>
      </w:r>
      <w:r>
        <w:instrText xml:space="preserve"> HYPERLINK \l _Toc18945 </w:instrText>
      </w:r>
      <w:r>
        <w:fldChar w:fldCharType="separate"/>
      </w:r>
      <w:r>
        <w:rPr>
          <w:rFonts w:hint="eastAsia"/>
        </w:rPr>
        <w:t>（三）投标文件的</w:t>
      </w:r>
      <w:r>
        <w:t>构成</w:t>
      </w:r>
      <w:r>
        <w:tab/>
      </w:r>
      <w:r>
        <w:fldChar w:fldCharType="begin"/>
      </w:r>
      <w:r>
        <w:instrText xml:space="preserve"> PAGEREF _Toc18945 \h </w:instrText>
      </w:r>
      <w:r>
        <w:fldChar w:fldCharType="separate"/>
      </w:r>
      <w:r>
        <w:t>- 6 -</w:t>
      </w:r>
      <w:r>
        <w:fldChar w:fldCharType="end"/>
      </w:r>
      <w:r>
        <w:fldChar w:fldCharType="end"/>
      </w:r>
    </w:p>
    <w:p w14:paraId="0C61A209">
      <w:pPr>
        <w:pStyle w:val="13"/>
        <w:tabs>
          <w:tab w:val="right" w:leader="dot" w:pos="8675"/>
        </w:tabs>
      </w:pPr>
      <w:r>
        <w:fldChar w:fldCharType="begin"/>
      </w:r>
      <w:r>
        <w:instrText xml:space="preserve"> HYPERLINK \l _Toc23899 </w:instrText>
      </w:r>
      <w:r>
        <w:fldChar w:fldCharType="separate"/>
      </w:r>
      <w:r>
        <w:rPr>
          <w:rFonts w:hint="eastAsia"/>
        </w:rPr>
        <w:t>（四）投标报价</w:t>
      </w:r>
      <w:r>
        <w:tab/>
      </w:r>
      <w:r>
        <w:fldChar w:fldCharType="begin"/>
      </w:r>
      <w:r>
        <w:instrText xml:space="preserve"> PAGEREF _Toc23899 \h </w:instrText>
      </w:r>
      <w:r>
        <w:fldChar w:fldCharType="separate"/>
      </w:r>
      <w:r>
        <w:t>- 6 -</w:t>
      </w:r>
      <w:r>
        <w:fldChar w:fldCharType="end"/>
      </w:r>
      <w:r>
        <w:fldChar w:fldCharType="end"/>
      </w:r>
    </w:p>
    <w:p w14:paraId="444E5D53">
      <w:pPr>
        <w:pStyle w:val="13"/>
        <w:tabs>
          <w:tab w:val="right" w:leader="dot" w:pos="8675"/>
        </w:tabs>
      </w:pPr>
      <w:r>
        <w:fldChar w:fldCharType="begin"/>
      </w:r>
      <w:r>
        <w:instrText xml:space="preserve"> HYPERLINK \l _Toc28926 </w:instrText>
      </w:r>
      <w:r>
        <w:fldChar w:fldCharType="separate"/>
      </w:r>
      <w:r>
        <w:rPr>
          <w:rFonts w:hint="eastAsia"/>
        </w:rPr>
        <w:t>（五）投标保证金</w:t>
      </w:r>
      <w:r>
        <w:tab/>
      </w:r>
      <w:r>
        <w:fldChar w:fldCharType="begin"/>
      </w:r>
      <w:r>
        <w:instrText xml:space="preserve"> PAGEREF _Toc28926 \h </w:instrText>
      </w:r>
      <w:r>
        <w:fldChar w:fldCharType="separate"/>
      </w:r>
      <w:r>
        <w:t>- 7 -</w:t>
      </w:r>
      <w:r>
        <w:fldChar w:fldCharType="end"/>
      </w:r>
      <w:r>
        <w:fldChar w:fldCharType="end"/>
      </w:r>
    </w:p>
    <w:p w14:paraId="737DDEDA">
      <w:pPr>
        <w:pStyle w:val="13"/>
        <w:tabs>
          <w:tab w:val="right" w:leader="dot" w:pos="8675"/>
        </w:tabs>
      </w:pPr>
      <w:r>
        <w:fldChar w:fldCharType="begin"/>
      </w:r>
      <w:r>
        <w:instrText xml:space="preserve"> HYPERLINK \l _Toc18093 </w:instrText>
      </w:r>
      <w:r>
        <w:fldChar w:fldCharType="separate"/>
      </w:r>
      <w:r>
        <w:rPr>
          <w:rFonts w:hint="eastAsia"/>
        </w:rPr>
        <w:t>（六）投标文件</w:t>
      </w:r>
      <w:r>
        <w:t>的递交</w:t>
      </w:r>
      <w:r>
        <w:tab/>
      </w:r>
      <w:r>
        <w:fldChar w:fldCharType="begin"/>
      </w:r>
      <w:r>
        <w:instrText xml:space="preserve"> PAGEREF _Toc18093 \h </w:instrText>
      </w:r>
      <w:r>
        <w:fldChar w:fldCharType="separate"/>
      </w:r>
      <w:r>
        <w:t>- 7 -</w:t>
      </w:r>
      <w:r>
        <w:fldChar w:fldCharType="end"/>
      </w:r>
      <w:r>
        <w:fldChar w:fldCharType="end"/>
      </w:r>
    </w:p>
    <w:p w14:paraId="765579C3">
      <w:pPr>
        <w:pStyle w:val="13"/>
        <w:tabs>
          <w:tab w:val="right" w:leader="dot" w:pos="8675"/>
        </w:tabs>
      </w:pPr>
      <w:r>
        <w:fldChar w:fldCharType="begin"/>
      </w:r>
      <w:r>
        <w:instrText xml:space="preserve"> HYPERLINK \l _Toc26312 </w:instrText>
      </w:r>
      <w:r>
        <w:fldChar w:fldCharType="separate"/>
      </w:r>
      <w:r>
        <w:rPr>
          <w:rFonts w:hint="eastAsia"/>
        </w:rPr>
        <w:t>（七）分包</w:t>
      </w:r>
      <w:r>
        <w:t>的规定</w:t>
      </w:r>
      <w:r>
        <w:tab/>
      </w:r>
      <w:r>
        <w:fldChar w:fldCharType="begin"/>
      </w:r>
      <w:r>
        <w:instrText xml:space="preserve"> PAGEREF _Toc26312 \h </w:instrText>
      </w:r>
      <w:r>
        <w:fldChar w:fldCharType="separate"/>
      </w:r>
      <w:r>
        <w:t>- 7 -</w:t>
      </w:r>
      <w:r>
        <w:fldChar w:fldCharType="end"/>
      </w:r>
      <w:r>
        <w:fldChar w:fldCharType="end"/>
      </w:r>
    </w:p>
    <w:p w14:paraId="36BC3FE2">
      <w:pPr>
        <w:pStyle w:val="13"/>
        <w:tabs>
          <w:tab w:val="right" w:leader="dot" w:pos="8675"/>
        </w:tabs>
      </w:pPr>
      <w:r>
        <w:fldChar w:fldCharType="begin"/>
      </w:r>
      <w:r>
        <w:instrText xml:space="preserve"> HYPERLINK \l _Toc27184 </w:instrText>
      </w:r>
      <w:r>
        <w:fldChar w:fldCharType="separate"/>
      </w:r>
      <w:r>
        <w:rPr>
          <w:rFonts w:hint="eastAsia"/>
        </w:rPr>
        <w:t>（八）恶意串通等行为的处理及串通投标情形的认定</w:t>
      </w:r>
      <w:r>
        <w:tab/>
      </w:r>
      <w:r>
        <w:fldChar w:fldCharType="begin"/>
      </w:r>
      <w:r>
        <w:instrText xml:space="preserve"> PAGEREF _Toc27184 \h </w:instrText>
      </w:r>
      <w:r>
        <w:fldChar w:fldCharType="separate"/>
      </w:r>
      <w:r>
        <w:t>- 7 -</w:t>
      </w:r>
      <w:r>
        <w:fldChar w:fldCharType="end"/>
      </w:r>
      <w:r>
        <w:fldChar w:fldCharType="end"/>
      </w:r>
    </w:p>
    <w:p w14:paraId="7C902CC8">
      <w:pPr>
        <w:pStyle w:val="24"/>
        <w:tabs>
          <w:tab w:val="right" w:leader="dot" w:pos="8675"/>
        </w:tabs>
      </w:pPr>
      <w:r>
        <w:fldChar w:fldCharType="begin"/>
      </w:r>
      <w:r>
        <w:instrText xml:space="preserve"> HYPERLINK \l _Toc7999 </w:instrText>
      </w:r>
      <w:r>
        <w:fldChar w:fldCharType="separate"/>
      </w:r>
      <w:r>
        <w:rPr>
          <w:rFonts w:hint="eastAsia"/>
        </w:rPr>
        <w:t>三、开 标</w:t>
      </w:r>
      <w:r>
        <w:tab/>
      </w:r>
      <w:r>
        <w:fldChar w:fldCharType="begin"/>
      </w:r>
      <w:r>
        <w:instrText xml:space="preserve"> PAGEREF _Toc7999 \h </w:instrText>
      </w:r>
      <w:r>
        <w:fldChar w:fldCharType="separate"/>
      </w:r>
      <w:r>
        <w:t>- 8 -</w:t>
      </w:r>
      <w:r>
        <w:fldChar w:fldCharType="end"/>
      </w:r>
      <w:r>
        <w:fldChar w:fldCharType="end"/>
      </w:r>
    </w:p>
    <w:p w14:paraId="582621F6">
      <w:pPr>
        <w:pStyle w:val="13"/>
        <w:tabs>
          <w:tab w:val="right" w:leader="dot" w:pos="8675"/>
        </w:tabs>
      </w:pPr>
      <w:r>
        <w:fldChar w:fldCharType="begin"/>
      </w:r>
      <w:r>
        <w:instrText xml:space="preserve"> HYPERLINK \l _Toc17129 </w:instrText>
      </w:r>
      <w:r>
        <w:fldChar w:fldCharType="separate"/>
      </w:r>
      <w:r>
        <w:rPr>
          <w:rFonts w:hint="eastAsia"/>
        </w:rPr>
        <w:t>（一）开标程序</w:t>
      </w:r>
      <w:r>
        <w:tab/>
      </w:r>
      <w:r>
        <w:fldChar w:fldCharType="begin"/>
      </w:r>
      <w:r>
        <w:instrText xml:space="preserve"> PAGEREF _Toc17129 \h </w:instrText>
      </w:r>
      <w:r>
        <w:fldChar w:fldCharType="separate"/>
      </w:r>
      <w:r>
        <w:t>- 8 -</w:t>
      </w:r>
      <w:r>
        <w:fldChar w:fldCharType="end"/>
      </w:r>
      <w:r>
        <w:fldChar w:fldCharType="end"/>
      </w:r>
    </w:p>
    <w:p w14:paraId="140937BE">
      <w:pPr>
        <w:pStyle w:val="13"/>
        <w:tabs>
          <w:tab w:val="right" w:leader="dot" w:pos="8675"/>
        </w:tabs>
      </w:pPr>
      <w:r>
        <w:fldChar w:fldCharType="begin"/>
      </w:r>
      <w:r>
        <w:instrText xml:space="preserve"> HYPERLINK \l _Toc19799 </w:instrText>
      </w:r>
      <w:r>
        <w:fldChar w:fldCharType="separate"/>
      </w:r>
      <w:r>
        <w:rPr>
          <w:rFonts w:hint="eastAsia"/>
        </w:rPr>
        <w:t>（二）申请无效</w:t>
      </w:r>
      <w:r>
        <w:tab/>
      </w:r>
      <w:r>
        <w:fldChar w:fldCharType="begin"/>
      </w:r>
      <w:r>
        <w:instrText xml:space="preserve"> PAGEREF _Toc19799 \h </w:instrText>
      </w:r>
      <w:r>
        <w:fldChar w:fldCharType="separate"/>
      </w:r>
      <w:r>
        <w:t>- 8 -</w:t>
      </w:r>
      <w:r>
        <w:fldChar w:fldCharType="end"/>
      </w:r>
      <w:r>
        <w:fldChar w:fldCharType="end"/>
      </w:r>
    </w:p>
    <w:p w14:paraId="23259DEE">
      <w:pPr>
        <w:pStyle w:val="24"/>
        <w:tabs>
          <w:tab w:val="right" w:leader="dot" w:pos="8675"/>
        </w:tabs>
      </w:pPr>
      <w:r>
        <w:fldChar w:fldCharType="begin"/>
      </w:r>
      <w:r>
        <w:instrText xml:space="preserve"> HYPERLINK \l _Toc21498 </w:instrText>
      </w:r>
      <w:r>
        <w:fldChar w:fldCharType="separate"/>
      </w:r>
      <w:r>
        <w:t>四</w:t>
      </w:r>
      <w:r>
        <w:rPr>
          <w:rFonts w:hint="eastAsia"/>
        </w:rPr>
        <w:t>、评 标</w:t>
      </w:r>
      <w:r>
        <w:tab/>
      </w:r>
      <w:r>
        <w:fldChar w:fldCharType="begin"/>
      </w:r>
      <w:r>
        <w:instrText xml:space="preserve"> PAGEREF _Toc21498 \h </w:instrText>
      </w:r>
      <w:r>
        <w:fldChar w:fldCharType="separate"/>
      </w:r>
      <w:r>
        <w:t>- 9 -</w:t>
      </w:r>
      <w:r>
        <w:fldChar w:fldCharType="end"/>
      </w:r>
      <w:r>
        <w:fldChar w:fldCharType="end"/>
      </w:r>
    </w:p>
    <w:p w14:paraId="277EE4F8">
      <w:pPr>
        <w:pStyle w:val="24"/>
        <w:tabs>
          <w:tab w:val="right" w:leader="dot" w:pos="8675"/>
        </w:tabs>
      </w:pPr>
      <w:r>
        <w:fldChar w:fldCharType="begin"/>
      </w:r>
      <w:r>
        <w:instrText xml:space="preserve"> HYPERLINK \l _Toc31676 </w:instrText>
      </w:r>
      <w:r>
        <w:fldChar w:fldCharType="separate"/>
      </w:r>
      <w:r>
        <w:rPr>
          <w:rFonts w:hint="eastAsia"/>
        </w:rPr>
        <w:t>五、中标与合同</w:t>
      </w:r>
      <w:r>
        <w:tab/>
      </w:r>
      <w:r>
        <w:fldChar w:fldCharType="begin"/>
      </w:r>
      <w:r>
        <w:instrText xml:space="preserve"> PAGEREF _Toc31676 \h </w:instrText>
      </w:r>
      <w:r>
        <w:fldChar w:fldCharType="separate"/>
      </w:r>
      <w:r>
        <w:t>- 9 -</w:t>
      </w:r>
      <w:r>
        <w:fldChar w:fldCharType="end"/>
      </w:r>
      <w:r>
        <w:fldChar w:fldCharType="end"/>
      </w:r>
    </w:p>
    <w:p w14:paraId="48898037">
      <w:pPr>
        <w:pStyle w:val="24"/>
        <w:tabs>
          <w:tab w:val="right" w:leader="dot" w:pos="8675"/>
        </w:tabs>
      </w:pPr>
      <w:r>
        <w:fldChar w:fldCharType="begin"/>
      </w:r>
      <w:r>
        <w:instrText xml:space="preserve"> HYPERLINK \l _Toc2343 </w:instrText>
      </w:r>
      <w:r>
        <w:fldChar w:fldCharType="separate"/>
      </w:r>
      <w:r>
        <w:rPr>
          <w:rFonts w:hint="eastAsia"/>
        </w:rPr>
        <w:t>六、其他事项</w:t>
      </w:r>
      <w:r>
        <w:tab/>
      </w:r>
      <w:r>
        <w:fldChar w:fldCharType="begin"/>
      </w:r>
      <w:r>
        <w:instrText xml:space="preserve"> PAGEREF _Toc2343 \h </w:instrText>
      </w:r>
      <w:r>
        <w:fldChar w:fldCharType="separate"/>
      </w:r>
      <w:r>
        <w:t>- 10 -</w:t>
      </w:r>
      <w:r>
        <w:fldChar w:fldCharType="end"/>
      </w:r>
      <w:r>
        <w:fldChar w:fldCharType="end"/>
      </w:r>
    </w:p>
    <w:p w14:paraId="066A47FD">
      <w:pPr>
        <w:pStyle w:val="20"/>
        <w:tabs>
          <w:tab w:val="right" w:leader="dot" w:pos="8675"/>
        </w:tabs>
      </w:pPr>
      <w:r>
        <w:fldChar w:fldCharType="begin"/>
      </w:r>
      <w:r>
        <w:instrText xml:space="preserve"> HYPERLINK \l _Toc27585 </w:instrText>
      </w:r>
      <w:r>
        <w:fldChar w:fldCharType="separate"/>
      </w:r>
      <w:r>
        <w:rPr>
          <w:rFonts w:hint="eastAsia"/>
        </w:rPr>
        <w:t>第四章 拟签订</w:t>
      </w:r>
      <w:r>
        <w:t>的</w:t>
      </w:r>
      <w:r>
        <w:rPr>
          <w:rFonts w:hint="eastAsia"/>
        </w:rPr>
        <w:t>合同文本</w:t>
      </w:r>
      <w:r>
        <w:tab/>
      </w:r>
      <w:r>
        <w:fldChar w:fldCharType="begin"/>
      </w:r>
      <w:r>
        <w:instrText xml:space="preserve"> PAGEREF _Toc27585 \h </w:instrText>
      </w:r>
      <w:r>
        <w:fldChar w:fldCharType="separate"/>
      </w:r>
      <w:r>
        <w:t>- 14 -</w:t>
      </w:r>
      <w:r>
        <w:fldChar w:fldCharType="end"/>
      </w:r>
      <w:r>
        <w:fldChar w:fldCharType="end"/>
      </w:r>
    </w:p>
    <w:p w14:paraId="502ADB3C">
      <w:pPr>
        <w:pStyle w:val="20"/>
        <w:tabs>
          <w:tab w:val="right" w:leader="dot" w:pos="8675"/>
        </w:tabs>
      </w:pPr>
      <w:r>
        <w:fldChar w:fldCharType="begin"/>
      </w:r>
      <w:r>
        <w:instrText xml:space="preserve"> HYPERLINK \l _Toc6287 </w:instrText>
      </w:r>
      <w:r>
        <w:fldChar w:fldCharType="separate"/>
      </w:r>
      <w:r>
        <w:rPr>
          <w:rFonts w:hint="eastAsia" w:ascii="Times New Roman" w:hAnsi="Times New Roman" w:eastAsia="宋体"/>
          <w:lang w:val="en-US" w:eastAsia="zh-CN"/>
        </w:rPr>
        <w:t>第五章 采购需求表及采购要求</w:t>
      </w:r>
      <w:r>
        <w:tab/>
      </w:r>
      <w:r>
        <w:fldChar w:fldCharType="begin"/>
      </w:r>
      <w:r>
        <w:instrText xml:space="preserve"> PAGEREF _Toc6287 \h </w:instrText>
      </w:r>
      <w:r>
        <w:fldChar w:fldCharType="separate"/>
      </w:r>
      <w:r>
        <w:t>- 15 -</w:t>
      </w:r>
      <w:r>
        <w:fldChar w:fldCharType="end"/>
      </w:r>
      <w:r>
        <w:fldChar w:fldCharType="end"/>
      </w:r>
    </w:p>
    <w:p w14:paraId="2819A4E0">
      <w:pPr>
        <w:pStyle w:val="24"/>
        <w:tabs>
          <w:tab w:val="right" w:leader="dot" w:pos="8675"/>
        </w:tabs>
      </w:pPr>
      <w:r>
        <w:fldChar w:fldCharType="begin"/>
      </w:r>
      <w:r>
        <w:instrText xml:space="preserve"> HYPERLINK \l _Toc29885 </w:instrText>
      </w:r>
      <w:r>
        <w:fldChar w:fldCharType="separate"/>
      </w:r>
      <w:r>
        <w:rPr>
          <w:rFonts w:hint="eastAsia" w:ascii="仿宋" w:hAnsi="仿宋" w:eastAsia="仿宋" w:cs="仿宋"/>
        </w:rPr>
        <w:t>一、采购需求表</w:t>
      </w:r>
      <w:r>
        <w:tab/>
      </w:r>
      <w:r>
        <w:fldChar w:fldCharType="begin"/>
      </w:r>
      <w:r>
        <w:instrText xml:space="preserve"> PAGEREF _Toc29885 \h </w:instrText>
      </w:r>
      <w:r>
        <w:fldChar w:fldCharType="separate"/>
      </w:r>
      <w:r>
        <w:t>- 15 -</w:t>
      </w:r>
      <w:r>
        <w:fldChar w:fldCharType="end"/>
      </w:r>
      <w:r>
        <w:fldChar w:fldCharType="end"/>
      </w:r>
    </w:p>
    <w:p w14:paraId="5289B446">
      <w:pPr>
        <w:pStyle w:val="24"/>
        <w:tabs>
          <w:tab w:val="right" w:leader="dot" w:pos="8675"/>
        </w:tabs>
      </w:pPr>
      <w:r>
        <w:fldChar w:fldCharType="begin"/>
      </w:r>
      <w:r>
        <w:instrText xml:space="preserve"> HYPERLINK \l _Toc22300 </w:instrText>
      </w:r>
      <w:r>
        <w:fldChar w:fldCharType="separate"/>
      </w:r>
      <w:r>
        <w:rPr>
          <w:rFonts w:hint="eastAsia" w:ascii="宋体" w:hAnsi="宋体" w:eastAsia="宋体" w:cs="Times New Roman"/>
          <w:szCs w:val="24"/>
        </w:rPr>
        <w:t>内容</w:t>
      </w:r>
      <w:r>
        <w:tab/>
      </w:r>
      <w:r>
        <w:fldChar w:fldCharType="begin"/>
      </w:r>
      <w:r>
        <w:instrText xml:space="preserve"> PAGEREF _Toc22300 \h </w:instrText>
      </w:r>
      <w:r>
        <w:fldChar w:fldCharType="separate"/>
      </w:r>
      <w:r>
        <w:t>- 15 -</w:t>
      </w:r>
      <w:r>
        <w:fldChar w:fldCharType="end"/>
      </w:r>
      <w:r>
        <w:fldChar w:fldCharType="end"/>
      </w:r>
    </w:p>
    <w:p w14:paraId="67547DB6">
      <w:pPr>
        <w:pStyle w:val="24"/>
        <w:tabs>
          <w:tab w:val="right" w:leader="dot" w:pos="8675"/>
        </w:tabs>
      </w:pPr>
      <w:r>
        <w:fldChar w:fldCharType="begin"/>
      </w:r>
      <w:r>
        <w:instrText xml:space="preserve"> HYPERLINK \l _Toc12087 </w:instrText>
      </w:r>
      <w:r>
        <w:fldChar w:fldCharType="separate"/>
      </w:r>
      <w:r>
        <w:rPr>
          <w:rFonts w:hint="eastAsia" w:ascii="仿宋" w:hAnsi="仿宋" w:eastAsia="仿宋" w:cs="仿宋"/>
          <w:lang w:val="en-US" w:eastAsia="zh-CN"/>
        </w:rPr>
        <w:t>二、采购要求</w:t>
      </w:r>
      <w:r>
        <w:tab/>
      </w:r>
      <w:r>
        <w:fldChar w:fldCharType="begin"/>
      </w:r>
      <w:r>
        <w:instrText xml:space="preserve"> PAGEREF _Toc12087 \h </w:instrText>
      </w:r>
      <w:r>
        <w:fldChar w:fldCharType="separate"/>
      </w:r>
      <w:r>
        <w:t>- 15 -</w:t>
      </w:r>
      <w:r>
        <w:fldChar w:fldCharType="end"/>
      </w:r>
      <w:r>
        <w:fldChar w:fldCharType="end"/>
      </w:r>
    </w:p>
    <w:p w14:paraId="46503D24">
      <w:pPr>
        <w:pStyle w:val="20"/>
        <w:tabs>
          <w:tab w:val="right" w:leader="dot" w:pos="8675"/>
        </w:tabs>
      </w:pPr>
      <w:r>
        <w:fldChar w:fldCharType="begin"/>
      </w:r>
      <w:r>
        <w:instrText xml:space="preserve"> HYPERLINK \l _Toc15729 </w:instrText>
      </w:r>
      <w:r>
        <w:fldChar w:fldCharType="separate"/>
      </w:r>
      <w:r>
        <w:t>第</w:t>
      </w:r>
      <w:r>
        <w:rPr>
          <w:rFonts w:hint="eastAsia"/>
          <w:lang w:val="en-US" w:eastAsia="zh-CN"/>
        </w:rPr>
        <w:t>六</w:t>
      </w:r>
      <w:r>
        <w:t>章</w:t>
      </w:r>
      <w:r>
        <w:rPr>
          <w:rFonts w:hint="eastAsia"/>
        </w:rPr>
        <w:t xml:space="preserve"> 评标方法与评标标准</w:t>
      </w:r>
      <w:r>
        <w:tab/>
      </w:r>
      <w:r>
        <w:fldChar w:fldCharType="begin"/>
      </w:r>
      <w:r>
        <w:instrText xml:space="preserve"> PAGEREF _Toc15729 \h </w:instrText>
      </w:r>
      <w:r>
        <w:fldChar w:fldCharType="separate"/>
      </w:r>
      <w:r>
        <w:t>- 17 -</w:t>
      </w:r>
      <w:r>
        <w:fldChar w:fldCharType="end"/>
      </w:r>
      <w:r>
        <w:fldChar w:fldCharType="end"/>
      </w:r>
    </w:p>
    <w:p w14:paraId="7014E17A">
      <w:pPr>
        <w:pStyle w:val="24"/>
        <w:tabs>
          <w:tab w:val="right" w:leader="dot" w:pos="8675"/>
        </w:tabs>
      </w:pPr>
      <w:r>
        <w:fldChar w:fldCharType="begin"/>
      </w:r>
      <w:r>
        <w:instrText xml:space="preserve"> HYPERLINK \l _Toc21139 </w:instrText>
      </w:r>
      <w:r>
        <w:fldChar w:fldCharType="separate"/>
      </w:r>
      <w:r>
        <w:rPr>
          <w:rFonts w:hint="eastAsia"/>
        </w:rPr>
        <w:t>一、评标方法</w:t>
      </w:r>
      <w:r>
        <w:tab/>
      </w:r>
      <w:r>
        <w:fldChar w:fldCharType="begin"/>
      </w:r>
      <w:r>
        <w:instrText xml:space="preserve"> PAGEREF _Toc21139 \h </w:instrText>
      </w:r>
      <w:r>
        <w:fldChar w:fldCharType="separate"/>
      </w:r>
      <w:r>
        <w:t>- 17 -</w:t>
      </w:r>
      <w:r>
        <w:fldChar w:fldCharType="end"/>
      </w:r>
      <w:r>
        <w:fldChar w:fldCharType="end"/>
      </w:r>
    </w:p>
    <w:p w14:paraId="47BF9470">
      <w:pPr>
        <w:pStyle w:val="51"/>
        <w:spacing w:before="240" w:after="240"/>
        <w:outlineLvl w:val="9"/>
        <w:sectPr>
          <w:footerReference r:id="rId5" w:type="first"/>
          <w:footerReference r:id="rId3" w:type="default"/>
          <w:footerReference r:id="rId4" w:type="even"/>
          <w:type w:val="oddPage"/>
          <w:pgSz w:w="11907" w:h="16840"/>
          <w:pgMar w:top="1418" w:right="1418" w:bottom="1418" w:left="1814" w:header="1134" w:footer="851" w:gutter="0"/>
          <w:pgNumType w:fmt="lowerRoman" w:start="1"/>
          <w:cols w:space="425" w:num="1"/>
          <w:titlePg/>
          <w:docGrid w:type="linesAndChars" w:linePitch="312" w:charSpace="0"/>
        </w:sectPr>
      </w:pPr>
      <w:r>
        <w:fldChar w:fldCharType="end"/>
      </w:r>
    </w:p>
    <w:p w14:paraId="1B5B3EE7">
      <w:pPr>
        <w:pStyle w:val="51"/>
        <w:spacing w:before="320"/>
      </w:pPr>
      <w:bookmarkStart w:id="5" w:name="_Toc7011"/>
      <w:r>
        <w:rPr>
          <w:rFonts w:hint="eastAsia"/>
        </w:rPr>
        <w:t>第一章 投标邀请</w:t>
      </w:r>
      <w:bookmarkEnd w:id="5"/>
    </w:p>
    <w:p w14:paraId="67273245">
      <w:pPr>
        <w:pStyle w:val="43"/>
        <w:spacing w:line="360" w:lineRule="exact"/>
        <w:ind w:firstLine="480"/>
      </w:pPr>
      <w:r>
        <w:rPr>
          <w:rFonts w:hint="eastAsia"/>
        </w:rPr>
        <w:t>我院拟对</w:t>
      </w:r>
      <w:r>
        <w:rPr>
          <w:rFonts w:hint="eastAsia"/>
          <w:lang w:eastAsia="zh-Hans"/>
        </w:rPr>
        <w:t>“</w:t>
      </w:r>
      <w:r>
        <w:rPr>
          <w:rFonts w:hint="eastAsia"/>
          <w:lang w:val="en-US" w:eastAsia="zh-Hans"/>
        </w:rPr>
        <w:t>赣江新区人民医院</w:t>
      </w:r>
      <w:r>
        <w:rPr>
          <w:rFonts w:hint="eastAsia" w:eastAsia="宋体"/>
          <w:lang w:val="en-US" w:eastAsia="zh-CN"/>
        </w:rPr>
        <w:t>工程</w:t>
      </w:r>
      <w:r>
        <w:rPr>
          <w:rFonts w:hint="eastAsia"/>
          <w:lang w:val="en-US" w:eastAsia="zh-Hans"/>
        </w:rPr>
        <w:t>造价咨询服务</w:t>
      </w:r>
      <w:r>
        <w:rPr>
          <w:rFonts w:hint="eastAsia"/>
          <w:lang w:val="en-US" w:eastAsia="zh-CN"/>
        </w:rPr>
        <w:t>采购</w:t>
      </w:r>
      <w:r>
        <w:rPr>
          <w:rFonts w:hint="eastAsia"/>
          <w:lang w:val="en-US" w:eastAsia="zh-Hans"/>
        </w:rPr>
        <w:t>”</w:t>
      </w:r>
      <w:r>
        <w:rPr>
          <w:rFonts w:hint="eastAsia"/>
          <w:lang w:val="en-US" w:eastAsia="zh-CN"/>
        </w:rPr>
        <w:t>项目</w:t>
      </w:r>
      <w:r>
        <w:rPr>
          <w:rFonts w:hint="eastAsia"/>
        </w:rPr>
        <w:t>进行院内公开招标，欢迎符合资格条件的单位前来报名投标。现将有关事宜公告如下：</w:t>
      </w:r>
    </w:p>
    <w:p w14:paraId="5D523497">
      <w:pPr>
        <w:pStyle w:val="43"/>
        <w:spacing w:line="360" w:lineRule="exact"/>
        <w:ind w:firstLine="480"/>
        <w:rPr>
          <w:rFonts w:hint="default" w:eastAsia="宋体"/>
          <w:lang w:val="en-US" w:eastAsia="zh-CN"/>
        </w:rPr>
      </w:pPr>
      <w:r>
        <w:rPr>
          <w:rFonts w:hint="eastAsia"/>
          <w:lang w:val="en-US" w:eastAsia="zh-Hans"/>
        </w:rPr>
        <w:t>一、</w:t>
      </w:r>
      <w:r>
        <w:rPr>
          <w:rFonts w:hint="eastAsia"/>
          <w:lang w:val="en-US" w:eastAsia="zh-CN"/>
        </w:rPr>
        <w:t>项目简介</w:t>
      </w:r>
    </w:p>
    <w:p w14:paraId="7ECC12CA">
      <w:pPr>
        <w:pStyle w:val="43"/>
        <w:spacing w:line="360" w:lineRule="exact"/>
        <w:ind w:firstLine="480"/>
        <w:rPr>
          <w:rFonts w:hint="eastAsia"/>
          <w:lang w:val="en-US" w:eastAsia="zh-Hans"/>
        </w:rPr>
      </w:pPr>
      <w:r>
        <w:rPr>
          <w:rFonts w:hint="eastAsia"/>
          <w:lang w:val="en-US" w:eastAsia="zh-CN"/>
        </w:rPr>
        <w:t>1</w:t>
      </w:r>
      <w:r>
        <w:rPr>
          <w:rFonts w:hint="eastAsia"/>
          <w:lang w:val="en-US" w:eastAsia="zh-Hans"/>
        </w:rPr>
        <w:t>.</w:t>
      </w:r>
      <w:r>
        <w:rPr>
          <w:rFonts w:hint="eastAsia"/>
          <w:lang w:val="en-US" w:eastAsia="zh-CN"/>
        </w:rPr>
        <w:t>项目</w:t>
      </w:r>
      <w:r>
        <w:rPr>
          <w:rFonts w:hint="eastAsia"/>
          <w:lang w:val="en-US" w:eastAsia="zh-Hans"/>
        </w:rPr>
        <w:t>地点：江西省赣江新区。</w:t>
      </w:r>
    </w:p>
    <w:p w14:paraId="14784E76">
      <w:pPr>
        <w:pStyle w:val="43"/>
        <w:spacing w:line="360" w:lineRule="exact"/>
        <w:ind w:firstLine="480"/>
        <w:rPr>
          <w:rFonts w:hint="eastAsia"/>
          <w:lang w:val="en-US" w:eastAsia="zh-Hans"/>
        </w:rPr>
      </w:pPr>
      <w:r>
        <w:rPr>
          <w:rFonts w:hint="eastAsia"/>
          <w:lang w:val="en-US" w:eastAsia="zh-CN"/>
        </w:rPr>
        <w:t>2</w:t>
      </w:r>
      <w:r>
        <w:rPr>
          <w:rFonts w:hint="eastAsia"/>
          <w:lang w:val="en-US" w:eastAsia="zh-Hans"/>
        </w:rPr>
        <w:t xml:space="preserve">.工程规模： </w:t>
      </w:r>
      <w:r>
        <w:rPr>
          <w:rFonts w:hint="eastAsia"/>
          <w:u w:val="single"/>
          <w:lang w:val="en-US" w:eastAsia="zh-Hans"/>
        </w:rPr>
        <w:t xml:space="preserve"> 根据实际项目情况定  </w:t>
      </w:r>
      <w:r>
        <w:rPr>
          <w:rFonts w:hint="eastAsia"/>
          <w:lang w:val="en-US" w:eastAsia="zh-Hans"/>
        </w:rPr>
        <w:t>。</w:t>
      </w:r>
    </w:p>
    <w:p w14:paraId="3A457A1F">
      <w:pPr>
        <w:pStyle w:val="43"/>
        <w:spacing w:line="360" w:lineRule="exact"/>
        <w:ind w:firstLine="480"/>
        <w:rPr>
          <w:rFonts w:hint="eastAsia"/>
          <w:lang w:val="en-US" w:eastAsia="zh-Hans"/>
        </w:rPr>
      </w:pPr>
      <w:r>
        <w:rPr>
          <w:rFonts w:hint="eastAsia"/>
          <w:lang w:val="en-US" w:eastAsia="zh-CN"/>
        </w:rPr>
        <w:t>3</w:t>
      </w:r>
      <w:r>
        <w:rPr>
          <w:rFonts w:hint="eastAsia"/>
          <w:lang w:val="en-US" w:eastAsia="zh-Hans"/>
        </w:rPr>
        <w:t>.</w:t>
      </w:r>
      <w:r>
        <w:rPr>
          <w:rFonts w:hint="eastAsia"/>
          <w:lang w:val="en-US" w:eastAsia="zh-CN"/>
        </w:rPr>
        <w:t>项目预算：4083元/月，全年共计4.9万元</w:t>
      </w:r>
      <w:r>
        <w:rPr>
          <w:rFonts w:hint="eastAsia"/>
          <w:lang w:val="en-US" w:eastAsia="zh-Hans"/>
        </w:rPr>
        <w:t>。</w:t>
      </w:r>
    </w:p>
    <w:p w14:paraId="48F27B38">
      <w:pPr>
        <w:pStyle w:val="43"/>
        <w:spacing w:line="360" w:lineRule="exact"/>
        <w:ind w:firstLine="480"/>
        <w:rPr>
          <w:rFonts w:hint="eastAsia"/>
          <w:lang w:val="en-US" w:eastAsia="zh-Hans"/>
        </w:rPr>
      </w:pPr>
      <w:r>
        <w:rPr>
          <w:rFonts w:hint="eastAsia"/>
          <w:lang w:val="en-US" w:eastAsia="zh-Hans"/>
        </w:rPr>
        <w:t>二、服务范围及工作内容</w:t>
      </w:r>
    </w:p>
    <w:p w14:paraId="2FB1D5D9">
      <w:pPr>
        <w:pStyle w:val="43"/>
        <w:spacing w:line="360" w:lineRule="exact"/>
        <w:ind w:firstLine="480"/>
        <w:rPr>
          <w:rFonts w:hint="eastAsia"/>
          <w:lang w:val="en-US" w:eastAsia="zh-Hans"/>
        </w:rPr>
      </w:pPr>
      <w:r>
        <w:rPr>
          <w:rFonts w:hint="eastAsia"/>
          <w:lang w:val="en-US" w:eastAsia="zh-Hans"/>
        </w:rPr>
        <w:t xml:space="preserve">双方约定的服务范围及工作内容： </w:t>
      </w:r>
    </w:p>
    <w:p w14:paraId="74A35E78">
      <w:pPr>
        <w:pStyle w:val="43"/>
        <w:numPr>
          <w:ilvl w:val="0"/>
          <w:numId w:val="1"/>
        </w:numPr>
        <w:spacing w:line="360" w:lineRule="exact"/>
        <w:ind w:firstLine="480"/>
        <w:rPr>
          <w:rFonts w:hint="eastAsia"/>
          <w:lang w:val="en-US" w:eastAsia="zh-CN"/>
        </w:rPr>
      </w:pPr>
      <w:r>
        <w:rPr>
          <w:rFonts w:hint="eastAsia"/>
          <w:lang w:val="en-US" w:eastAsia="zh-Hans"/>
        </w:rPr>
        <w:t>根据委托人要求完成单个项目编制工程量清单控制价或施工图预算、进度款、签证费用等进行审核，签署意见并加盖单位公章</w:t>
      </w:r>
      <w:r>
        <w:rPr>
          <w:rFonts w:hint="eastAsia"/>
          <w:lang w:val="en-US" w:eastAsia="zh-CN"/>
        </w:rPr>
        <w:t>；</w:t>
      </w:r>
    </w:p>
    <w:p w14:paraId="4534D6E8">
      <w:pPr>
        <w:pStyle w:val="43"/>
        <w:numPr>
          <w:ilvl w:val="0"/>
          <w:numId w:val="1"/>
        </w:numPr>
        <w:spacing w:line="360" w:lineRule="exact"/>
        <w:ind w:firstLine="480"/>
        <w:rPr>
          <w:rFonts w:hint="eastAsia"/>
          <w:lang w:val="en-US" w:eastAsia="zh-CN"/>
        </w:rPr>
      </w:pPr>
      <w:r>
        <w:rPr>
          <w:rFonts w:hint="eastAsia"/>
          <w:lang w:val="en-US" w:eastAsia="zh-CN"/>
        </w:rPr>
        <w:t>要求提供驻场服务，每个星期至少两天，驻场时间为上午8：00——下午5:30，办公地点由委托人提供。</w:t>
      </w:r>
    </w:p>
    <w:p w14:paraId="16CE36E6">
      <w:pPr>
        <w:pStyle w:val="43"/>
        <w:numPr>
          <w:ilvl w:val="0"/>
          <w:numId w:val="1"/>
        </w:numPr>
        <w:spacing w:line="360" w:lineRule="exact"/>
        <w:ind w:firstLine="480"/>
        <w:rPr>
          <w:rFonts w:hint="eastAsia"/>
          <w:lang w:val="en-US" w:eastAsia="zh-CN"/>
        </w:rPr>
      </w:pPr>
      <w:r>
        <w:rPr>
          <w:rFonts w:hint="eastAsia"/>
          <w:lang w:val="en-US" w:eastAsia="zh-CN"/>
        </w:rPr>
        <w:t>提供必要的造价咨询培训，帮助委托人更好地审核相关费用。</w:t>
      </w:r>
    </w:p>
    <w:p w14:paraId="2B1D04D5">
      <w:pPr>
        <w:pStyle w:val="43"/>
        <w:spacing w:line="360" w:lineRule="exact"/>
        <w:ind w:firstLine="480"/>
        <w:rPr>
          <w:rFonts w:hint="eastAsia"/>
          <w:lang w:val="en-US" w:eastAsia="zh-Hans"/>
        </w:rPr>
      </w:pPr>
      <w:r>
        <w:rPr>
          <w:rFonts w:hint="eastAsia"/>
          <w:lang w:val="en-US" w:eastAsia="zh-Hans"/>
        </w:rPr>
        <w:t>三、服务期限</w:t>
      </w:r>
    </w:p>
    <w:p w14:paraId="04761145">
      <w:pPr>
        <w:pStyle w:val="43"/>
        <w:spacing w:line="360" w:lineRule="exact"/>
        <w:ind w:firstLine="480"/>
        <w:rPr>
          <w:rFonts w:hint="eastAsia"/>
          <w:lang w:val="en-US" w:eastAsia="zh-Hans"/>
        </w:rPr>
      </w:pPr>
      <w:r>
        <w:rPr>
          <w:rFonts w:hint="eastAsia"/>
          <w:lang w:val="en-US" w:eastAsia="zh-Hans"/>
        </w:rPr>
        <w:t>本合同约定的建设工程造价咨询服务自</w:t>
      </w:r>
      <w:r>
        <w:rPr>
          <w:rFonts w:hint="eastAsia"/>
          <w:lang w:val="en-US" w:eastAsia="zh-CN"/>
        </w:rPr>
        <w:t>签订合同之日</w:t>
      </w:r>
      <w:r>
        <w:rPr>
          <w:rFonts w:hint="eastAsia"/>
          <w:lang w:val="en-US" w:eastAsia="zh-Hans"/>
        </w:rPr>
        <w:t>开始实施，</w:t>
      </w:r>
      <w:r>
        <w:rPr>
          <w:rFonts w:hint="eastAsia"/>
          <w:lang w:val="en-US" w:eastAsia="zh-CN"/>
        </w:rPr>
        <w:t>期限为一年</w:t>
      </w:r>
      <w:r>
        <w:rPr>
          <w:rFonts w:hint="eastAsia"/>
          <w:lang w:val="en-US" w:eastAsia="zh-Hans"/>
        </w:rPr>
        <w:t>。</w:t>
      </w:r>
    </w:p>
    <w:p w14:paraId="0245BBF0">
      <w:pPr>
        <w:pStyle w:val="43"/>
        <w:spacing w:line="360" w:lineRule="exact"/>
        <w:ind w:firstLine="480"/>
        <w:rPr>
          <w:rFonts w:hint="eastAsia"/>
          <w:lang w:val="en-US" w:eastAsia="zh-Hans"/>
        </w:rPr>
      </w:pPr>
      <w:r>
        <w:rPr>
          <w:rFonts w:hint="eastAsia"/>
          <w:lang w:val="en-US" w:eastAsia="zh-Hans"/>
        </w:rPr>
        <w:t>四、质量标准</w:t>
      </w:r>
    </w:p>
    <w:p w14:paraId="4236FB29">
      <w:pPr>
        <w:pStyle w:val="43"/>
        <w:spacing w:line="360" w:lineRule="exact"/>
        <w:ind w:firstLine="480"/>
        <w:rPr>
          <w:rFonts w:hint="eastAsia"/>
          <w:lang w:val="en-US" w:eastAsia="zh-Hans"/>
        </w:rPr>
      </w:pPr>
      <w:r>
        <w:rPr>
          <w:rFonts w:hint="eastAsia"/>
          <w:lang w:val="en-US" w:eastAsia="zh-Hans"/>
        </w:rPr>
        <w:t>工程造价咨询成果文件应符合：</w:t>
      </w:r>
    </w:p>
    <w:p w14:paraId="39E3F99E">
      <w:pPr>
        <w:pStyle w:val="43"/>
        <w:spacing w:line="360" w:lineRule="exact"/>
        <w:ind w:firstLine="480"/>
        <w:rPr>
          <w:rFonts w:hint="eastAsia"/>
          <w:lang w:val="en-US" w:eastAsia="zh-Hans"/>
        </w:rPr>
      </w:pPr>
      <w:r>
        <w:rPr>
          <w:rFonts w:hint="eastAsia"/>
          <w:lang w:val="en-US" w:eastAsia="zh-Hans"/>
        </w:rPr>
        <w:t>《建设项目工程结算编审规程》CECA/GC3-2010，《建设工程造价咨询成果文件质量标准》CECA/GC7-2012。</w:t>
      </w:r>
    </w:p>
    <w:p w14:paraId="51F5B47A">
      <w:pPr>
        <w:pStyle w:val="43"/>
        <w:spacing w:line="360" w:lineRule="exact"/>
        <w:ind w:firstLine="480"/>
        <w:rPr>
          <w:rFonts w:hint="eastAsia"/>
          <w:lang w:val="en-US" w:eastAsia="zh-Hans"/>
        </w:rPr>
      </w:pPr>
      <w:r>
        <w:rPr>
          <w:rFonts w:hint="eastAsia"/>
          <w:lang w:val="en-US" w:eastAsia="zh-Hans"/>
        </w:rPr>
        <w:t>五、酬金或计取方式</w:t>
      </w:r>
    </w:p>
    <w:p w14:paraId="5A9E08C6">
      <w:pPr>
        <w:pStyle w:val="43"/>
        <w:spacing w:line="360" w:lineRule="exact"/>
        <w:ind w:left="0" w:leftChars="0" w:firstLine="720" w:firstLineChars="300"/>
        <w:rPr>
          <w:rFonts w:hint="eastAsia"/>
          <w:lang w:val="en-US" w:eastAsia="zh-Hans"/>
        </w:rPr>
      </w:pPr>
      <w:r>
        <w:rPr>
          <w:rFonts w:hint="eastAsia"/>
          <w:lang w:val="en-US" w:eastAsia="zh-Hans"/>
        </w:rPr>
        <w:t>1、委托人同意按照本合同规定的期限、方式、币种、额度向受托人支付酬金。</w:t>
      </w:r>
    </w:p>
    <w:p w14:paraId="1A10A9AC">
      <w:pPr>
        <w:pStyle w:val="43"/>
        <w:spacing w:line="360" w:lineRule="exact"/>
        <w:ind w:firstLine="720" w:firstLineChars="300"/>
        <w:rPr>
          <w:rFonts w:hint="eastAsia"/>
          <w:lang w:val="en-US" w:eastAsia="zh-Hans"/>
        </w:rPr>
      </w:pPr>
      <w:r>
        <w:rPr>
          <w:rFonts w:hint="eastAsia"/>
          <w:lang w:val="en-US" w:eastAsia="zh-Hans"/>
        </w:rPr>
        <w:t>2、计取方式：</w:t>
      </w:r>
    </w:p>
    <w:p w14:paraId="4C280365">
      <w:pPr>
        <w:pStyle w:val="43"/>
        <w:spacing w:line="360" w:lineRule="exact"/>
        <w:ind w:firstLine="480"/>
        <w:rPr>
          <w:rFonts w:hint="eastAsia"/>
          <w:b/>
          <w:bCs/>
          <w:lang w:val="en-US" w:eastAsia="zh-Hans"/>
        </w:rPr>
      </w:pPr>
      <w:r>
        <w:rPr>
          <w:rFonts w:hint="eastAsia"/>
          <w:lang w:val="en-US" w:eastAsia="zh-Hans"/>
        </w:rPr>
        <w:t xml:space="preserve">   </w:t>
      </w:r>
      <w:r>
        <w:rPr>
          <w:rFonts w:hint="eastAsia"/>
          <w:b/>
          <w:bCs/>
          <w:lang w:val="en-US" w:eastAsia="zh-Hans"/>
        </w:rPr>
        <w:t>本项目全过程造价咨询服务费：</w:t>
      </w:r>
      <w:r>
        <w:rPr>
          <w:rFonts w:hint="eastAsia"/>
          <w:b/>
          <w:bCs/>
          <w:lang w:val="en-US" w:eastAsia="zh-CN"/>
        </w:rPr>
        <w:t>所有费用以实际中标价为准</w:t>
      </w:r>
      <w:r>
        <w:rPr>
          <w:rFonts w:hint="eastAsia"/>
          <w:b/>
          <w:bCs/>
          <w:lang w:val="en-US" w:eastAsia="zh-Hans"/>
        </w:rPr>
        <w:t>。</w:t>
      </w:r>
    </w:p>
    <w:p w14:paraId="57F30097">
      <w:pPr>
        <w:pStyle w:val="43"/>
        <w:spacing w:line="360" w:lineRule="exact"/>
        <w:ind w:firstLine="480"/>
        <w:rPr>
          <w:rFonts w:hint="eastAsia"/>
          <w:lang w:val="en-US" w:eastAsia="zh-Hans"/>
        </w:rPr>
      </w:pPr>
      <w:r>
        <w:rPr>
          <w:rFonts w:hint="eastAsia"/>
          <w:b/>
          <w:bCs/>
          <w:lang w:val="en-US" w:eastAsia="zh-CN"/>
        </w:rPr>
        <w:t>造价咨询费用根据考核情况，每季度支付一次；年累计出现两次月度考核不合格，委托人有权终止合同。</w:t>
      </w:r>
      <w:r>
        <w:rPr>
          <w:rFonts w:hint="eastAsia"/>
          <w:lang w:val="en-US" w:eastAsia="zh-Hans"/>
        </w:rPr>
        <w:t xml:space="preserve">  </w:t>
      </w:r>
    </w:p>
    <w:p w14:paraId="39B7F539">
      <w:pPr>
        <w:pStyle w:val="43"/>
        <w:spacing w:line="360" w:lineRule="exact"/>
        <w:ind w:firstLine="480"/>
        <w:rPr>
          <w:rFonts w:hint="eastAsia"/>
          <w:lang w:val="en-US" w:eastAsia="zh-Hans"/>
        </w:rPr>
      </w:pPr>
      <w:r>
        <w:rPr>
          <w:rFonts w:hint="eastAsia"/>
          <w:lang w:val="en-US" w:eastAsia="zh-Hans"/>
        </w:rPr>
        <w:t xml:space="preserve"> </w:t>
      </w:r>
    </w:p>
    <w:p w14:paraId="42988BAD">
      <w:pPr>
        <w:pStyle w:val="43"/>
        <w:spacing w:line="360" w:lineRule="exact"/>
        <w:ind w:firstLine="480"/>
      </w:pPr>
      <w:r>
        <w:rPr>
          <w:rFonts w:hint="eastAsia"/>
          <w:lang w:val="en-US" w:eastAsia="zh-CN"/>
        </w:rPr>
        <w:t>六</w:t>
      </w:r>
      <w:r>
        <w:rPr>
          <w:rFonts w:hint="eastAsia"/>
        </w:rPr>
        <w:t>、</w:t>
      </w:r>
      <w:r>
        <w:rPr>
          <w:rFonts w:hint="eastAsia"/>
          <w:lang w:val="en-US" w:eastAsia="zh-Hans"/>
        </w:rPr>
        <w:t>投标方</w:t>
      </w:r>
      <w:r>
        <w:rPr>
          <w:rFonts w:hint="eastAsia"/>
        </w:rPr>
        <w:t>资质要求：</w:t>
      </w:r>
    </w:p>
    <w:p w14:paraId="3959D33D">
      <w:pPr>
        <w:pStyle w:val="43"/>
        <w:spacing w:line="360" w:lineRule="exact"/>
        <w:ind w:left="480" w:leftChars="200" w:firstLine="480"/>
      </w:pPr>
      <w:r>
        <w:rPr>
          <w:rFonts w:hint="eastAsia"/>
        </w:rPr>
        <w:t>1、具有独立承担民事责任能力的法人；</w:t>
      </w:r>
    </w:p>
    <w:p w14:paraId="4EBEC16F">
      <w:pPr>
        <w:pStyle w:val="43"/>
        <w:spacing w:line="360" w:lineRule="exact"/>
        <w:ind w:left="480" w:leftChars="200" w:firstLine="480"/>
      </w:pPr>
      <w:r>
        <w:rPr>
          <w:rFonts w:hint="eastAsia"/>
        </w:rPr>
        <w:t>2、有依法缴纳税收和社会保障资金的良好记录；</w:t>
      </w:r>
    </w:p>
    <w:p w14:paraId="18D27B7F">
      <w:pPr>
        <w:pStyle w:val="43"/>
        <w:spacing w:line="360" w:lineRule="exact"/>
        <w:ind w:left="480" w:leftChars="200" w:firstLine="480"/>
      </w:pPr>
      <w:r>
        <w:rPr>
          <w:rFonts w:hint="eastAsia"/>
        </w:rPr>
        <w:t>3、具有良好的信誉及服务能力；</w:t>
      </w:r>
    </w:p>
    <w:p w14:paraId="4A2C1287">
      <w:pPr>
        <w:pStyle w:val="43"/>
        <w:spacing w:line="360" w:lineRule="exact"/>
        <w:ind w:left="480" w:leftChars="200" w:firstLine="480"/>
      </w:pPr>
      <w:r>
        <w:rPr>
          <w:rFonts w:hint="eastAsia"/>
        </w:rPr>
        <w:t>4、乙方具有本次招标内容相关经营资质；</w:t>
      </w:r>
    </w:p>
    <w:p w14:paraId="699AD57E">
      <w:pPr>
        <w:pStyle w:val="43"/>
        <w:spacing w:line="360" w:lineRule="exact"/>
        <w:ind w:left="480" w:leftChars="200" w:firstLine="480"/>
      </w:pPr>
      <w:r>
        <w:rPr>
          <w:rFonts w:hint="eastAsia"/>
        </w:rPr>
        <w:t>5、参加政府采购活动前三年内，在经营活动中没有重大违法记录；</w:t>
      </w:r>
    </w:p>
    <w:p w14:paraId="65A1FA5F">
      <w:pPr>
        <w:pStyle w:val="43"/>
        <w:spacing w:line="360" w:lineRule="exact"/>
        <w:ind w:left="480" w:leftChars="200" w:firstLine="480"/>
      </w:pPr>
      <w:r>
        <w:rPr>
          <w:rFonts w:hint="eastAsia"/>
        </w:rPr>
        <w:t>6、本项目不接受联合体投标。</w:t>
      </w:r>
    </w:p>
    <w:p w14:paraId="22635190">
      <w:pPr>
        <w:pStyle w:val="43"/>
        <w:spacing w:line="360" w:lineRule="exact"/>
        <w:ind w:firstLine="480"/>
      </w:pPr>
      <w:r>
        <w:rPr>
          <w:rFonts w:hint="eastAsia"/>
          <w:lang w:val="en-US" w:eastAsia="zh-CN"/>
        </w:rPr>
        <w:t>七</w:t>
      </w:r>
      <w:r>
        <w:t>、</w:t>
      </w:r>
      <w:r>
        <w:rPr>
          <w:rFonts w:hint="eastAsia"/>
        </w:rPr>
        <w:t>招标文件的</w:t>
      </w:r>
      <w:r>
        <w:t>领取：</w:t>
      </w:r>
    </w:p>
    <w:p w14:paraId="39879CF5">
      <w:pPr>
        <w:pStyle w:val="43"/>
        <w:spacing w:line="360" w:lineRule="exact"/>
        <w:ind w:left="480" w:leftChars="200" w:firstLine="480" w:firstLineChars="200"/>
      </w:pPr>
      <w:r>
        <w:rPr>
          <w:rFonts w:hint="eastAsia"/>
          <w:lang w:val="en-US" w:eastAsia="zh-Hans"/>
        </w:rPr>
        <w:t>投标方若需要</w:t>
      </w:r>
      <w:r>
        <w:rPr>
          <w:rFonts w:hint="eastAsia"/>
        </w:rPr>
        <w:t>招标文件（电子版）</w:t>
      </w:r>
      <w:r>
        <w:rPr>
          <w:rFonts w:hint="default"/>
          <w:lang w:eastAsia="zh-Hans"/>
        </w:rPr>
        <w:t>，</w:t>
      </w:r>
      <w:r>
        <w:rPr>
          <w:rFonts w:hint="eastAsia"/>
          <w:lang w:val="en-US" w:eastAsia="zh-Hans"/>
        </w:rPr>
        <w:t>可致电联系此公告中的联系电话</w:t>
      </w:r>
      <w:r>
        <w:rPr>
          <w:rFonts w:hint="eastAsia"/>
        </w:rPr>
        <w:t>免费领取。</w:t>
      </w:r>
    </w:p>
    <w:p w14:paraId="25BBD7F4">
      <w:pPr>
        <w:pStyle w:val="43"/>
        <w:spacing w:line="360" w:lineRule="exact"/>
        <w:ind w:firstLine="480"/>
      </w:pPr>
      <w:r>
        <w:rPr>
          <w:rFonts w:hint="eastAsia"/>
          <w:lang w:val="en-US" w:eastAsia="zh-CN"/>
        </w:rPr>
        <w:t>八</w:t>
      </w:r>
      <w:r>
        <w:rPr>
          <w:rFonts w:hint="eastAsia"/>
        </w:rPr>
        <w:t>、报名时需提供以下材料：</w:t>
      </w:r>
    </w:p>
    <w:p w14:paraId="0CD4F9AC">
      <w:pPr>
        <w:pStyle w:val="43"/>
        <w:spacing w:line="360" w:lineRule="exact"/>
        <w:ind w:left="480" w:leftChars="200" w:firstLine="480"/>
        <w:rPr>
          <w:rFonts w:hint="default" w:eastAsia="宋体"/>
          <w:lang w:val="en-US" w:eastAsia="zh-Hans"/>
        </w:rPr>
      </w:pPr>
      <w:r>
        <w:rPr>
          <w:rFonts w:hint="default" w:eastAsia="宋体"/>
          <w:lang w:eastAsia="zh-Hans"/>
        </w:rPr>
        <w:t>1、</w:t>
      </w:r>
      <w:r>
        <w:rPr>
          <w:rFonts w:hint="default" w:eastAsia="宋体"/>
          <w:lang w:val="en-US" w:eastAsia="zh-Hans"/>
        </w:rPr>
        <w:t>报价单位的营业执照正、副本(复印件</w:t>
      </w:r>
      <w:r>
        <w:rPr>
          <w:rFonts w:hint="eastAsia" w:eastAsia="宋体"/>
          <w:lang w:val="en-US" w:eastAsia="zh-Hans"/>
        </w:rPr>
        <w:t>需加盖单位公章</w:t>
      </w:r>
      <w:r>
        <w:rPr>
          <w:rFonts w:hint="default" w:eastAsia="宋体"/>
          <w:lang w:eastAsia="zh-Hans"/>
        </w:rPr>
        <w:t>、</w:t>
      </w:r>
      <w:r>
        <w:rPr>
          <w:rFonts w:hint="eastAsia" w:eastAsia="宋体"/>
          <w:lang w:val="en-US" w:eastAsia="zh-Hans"/>
        </w:rPr>
        <w:t>营业执照年检需合格</w:t>
      </w:r>
      <w:r>
        <w:rPr>
          <w:rFonts w:hint="default" w:eastAsia="宋体"/>
          <w:lang w:val="en-US" w:eastAsia="zh-Hans"/>
        </w:rPr>
        <w:t>)</w:t>
      </w:r>
    </w:p>
    <w:p w14:paraId="369DA63C">
      <w:pPr>
        <w:pStyle w:val="43"/>
        <w:spacing w:line="360" w:lineRule="exact"/>
        <w:ind w:left="480" w:leftChars="200" w:firstLine="480"/>
        <w:rPr>
          <w:rFonts w:hint="default" w:eastAsia="宋体"/>
          <w:lang w:val="en-US" w:eastAsia="zh-Hans"/>
        </w:rPr>
      </w:pPr>
      <w:r>
        <w:rPr>
          <w:rFonts w:hint="default" w:eastAsia="宋体"/>
          <w:lang w:eastAsia="zh-Hans"/>
        </w:rPr>
        <w:t>2、</w:t>
      </w:r>
      <w:r>
        <w:rPr>
          <w:rFonts w:hint="default" w:eastAsia="宋体"/>
          <w:lang w:val="en-US" w:eastAsia="zh-Hans"/>
        </w:rPr>
        <w:t>报价单位的税务登记证(复印件</w:t>
      </w:r>
      <w:r>
        <w:rPr>
          <w:rFonts w:hint="default" w:eastAsia="宋体"/>
          <w:lang w:eastAsia="zh-Hans"/>
        </w:rPr>
        <w:t>，</w:t>
      </w:r>
      <w:r>
        <w:rPr>
          <w:rFonts w:hint="eastAsia" w:eastAsia="宋体"/>
          <w:lang w:val="en-US" w:eastAsia="zh-Hans"/>
        </w:rPr>
        <w:t>需加盖单位公章</w:t>
      </w:r>
      <w:r>
        <w:rPr>
          <w:rFonts w:hint="default" w:eastAsia="宋体"/>
          <w:lang w:val="en-US" w:eastAsia="zh-Hans"/>
        </w:rPr>
        <w:t>)</w:t>
      </w:r>
    </w:p>
    <w:p w14:paraId="64F33721">
      <w:pPr>
        <w:pStyle w:val="43"/>
        <w:spacing w:line="360" w:lineRule="exact"/>
        <w:ind w:left="480" w:leftChars="200" w:firstLine="480"/>
        <w:rPr>
          <w:rFonts w:hint="default" w:eastAsia="宋体"/>
          <w:lang w:val="en-US" w:eastAsia="zh-Hans"/>
        </w:rPr>
      </w:pPr>
      <w:r>
        <w:rPr>
          <w:rFonts w:hint="default" w:eastAsia="宋体"/>
          <w:lang w:val="en-US" w:eastAsia="zh-Hans"/>
        </w:rPr>
        <w:t>3</w:t>
      </w:r>
      <w:r>
        <w:rPr>
          <w:rFonts w:hint="default" w:eastAsia="宋体"/>
          <w:lang w:eastAsia="zh-Hans"/>
        </w:rPr>
        <w:t>、</w:t>
      </w:r>
      <w:r>
        <w:rPr>
          <w:rFonts w:hint="default" w:eastAsia="宋体"/>
          <w:lang w:val="en-US" w:eastAsia="zh-Hans"/>
        </w:rPr>
        <w:t>法人代表授权证书(法人签字并盖公章)</w:t>
      </w:r>
    </w:p>
    <w:p w14:paraId="75A7F808">
      <w:pPr>
        <w:pStyle w:val="43"/>
        <w:spacing w:line="360" w:lineRule="exact"/>
        <w:ind w:left="480" w:leftChars="200" w:firstLine="480"/>
        <w:rPr>
          <w:rFonts w:hint="default" w:eastAsia="宋体"/>
          <w:lang w:val="en-US" w:eastAsia="zh-Hans"/>
        </w:rPr>
      </w:pPr>
      <w:r>
        <w:rPr>
          <w:rFonts w:hint="default" w:eastAsia="宋体"/>
          <w:lang w:val="en-US" w:eastAsia="zh-Hans"/>
        </w:rPr>
        <w:t>4</w:t>
      </w:r>
      <w:r>
        <w:rPr>
          <w:rFonts w:hint="default" w:eastAsia="宋体"/>
          <w:lang w:eastAsia="zh-Hans"/>
        </w:rPr>
        <w:t>、</w:t>
      </w:r>
      <w:r>
        <w:rPr>
          <w:rFonts w:hint="default" w:eastAsia="宋体"/>
          <w:lang w:val="en-US" w:eastAsia="zh-Hans"/>
        </w:rPr>
        <w:t>法人身份证复印件及联系方式</w:t>
      </w:r>
      <w:r>
        <w:rPr>
          <w:rFonts w:hint="default" w:eastAsia="宋体"/>
          <w:lang w:eastAsia="zh-Hans"/>
        </w:rPr>
        <w:t>（</w:t>
      </w:r>
      <w:r>
        <w:rPr>
          <w:rFonts w:hint="eastAsia" w:eastAsia="宋体"/>
          <w:lang w:val="en-US" w:eastAsia="zh-Hans"/>
        </w:rPr>
        <w:t>需加盖单位公章</w:t>
      </w:r>
      <w:r>
        <w:rPr>
          <w:rFonts w:hint="default" w:eastAsia="宋体"/>
          <w:lang w:val="en-US" w:eastAsia="zh-Hans"/>
        </w:rPr>
        <w:t>)</w:t>
      </w:r>
    </w:p>
    <w:p w14:paraId="4C5A83BC">
      <w:pPr>
        <w:pStyle w:val="43"/>
        <w:spacing w:line="360" w:lineRule="exact"/>
        <w:ind w:left="480" w:leftChars="200" w:firstLine="480"/>
        <w:rPr>
          <w:rFonts w:hint="default" w:eastAsia="宋体"/>
          <w:lang w:val="en-US" w:eastAsia="zh-Hans"/>
        </w:rPr>
      </w:pPr>
      <w:r>
        <w:rPr>
          <w:rFonts w:hint="default" w:eastAsia="宋体"/>
          <w:lang w:val="en-US" w:eastAsia="zh-Hans"/>
        </w:rPr>
        <w:t>5</w:t>
      </w:r>
      <w:r>
        <w:rPr>
          <w:rFonts w:hint="default" w:eastAsia="宋体"/>
          <w:lang w:eastAsia="zh-Hans"/>
        </w:rPr>
        <w:t>、</w:t>
      </w:r>
      <w:r>
        <w:rPr>
          <w:rFonts w:hint="eastAsia" w:eastAsia="宋体"/>
          <w:lang w:val="en-US" w:eastAsia="zh-Hans"/>
        </w:rPr>
        <w:t>一级造价工程师职业资格</w:t>
      </w:r>
      <w:r>
        <w:rPr>
          <w:rFonts w:hint="default" w:eastAsia="宋体"/>
          <w:lang w:val="en-US" w:eastAsia="zh-Hans"/>
        </w:rPr>
        <w:t>证书(复印件</w:t>
      </w:r>
      <w:r>
        <w:rPr>
          <w:rFonts w:hint="default" w:eastAsia="宋体"/>
          <w:lang w:eastAsia="zh-Hans"/>
        </w:rPr>
        <w:t>，</w:t>
      </w:r>
      <w:r>
        <w:rPr>
          <w:rFonts w:hint="eastAsia" w:eastAsia="宋体"/>
          <w:lang w:val="en-US" w:eastAsia="zh-Hans"/>
        </w:rPr>
        <w:t>需加盖单位公章</w:t>
      </w:r>
      <w:r>
        <w:rPr>
          <w:rFonts w:hint="default" w:eastAsia="宋体"/>
          <w:lang w:val="en-US" w:eastAsia="zh-Hans"/>
        </w:rPr>
        <w:t>)</w:t>
      </w:r>
    </w:p>
    <w:p w14:paraId="16A42A84">
      <w:pPr>
        <w:pStyle w:val="43"/>
        <w:spacing w:line="360" w:lineRule="exact"/>
        <w:ind w:firstLine="480"/>
      </w:pPr>
      <w:r>
        <w:rPr>
          <w:rFonts w:hint="eastAsia"/>
          <w:lang w:val="en-US" w:eastAsia="zh-CN"/>
        </w:rPr>
        <w:t>九</w:t>
      </w:r>
      <w:r>
        <w:rPr>
          <w:rFonts w:hint="eastAsia"/>
        </w:rPr>
        <w:t>、报名须知：</w:t>
      </w:r>
    </w:p>
    <w:p w14:paraId="4B66CD3E">
      <w:pPr>
        <w:pStyle w:val="43"/>
        <w:spacing w:line="360" w:lineRule="exact"/>
        <w:ind w:left="480" w:leftChars="200" w:firstLine="480"/>
      </w:pPr>
      <w:r>
        <w:rPr>
          <w:rFonts w:hint="eastAsia"/>
        </w:rPr>
        <w:t>1、报名时间：20</w:t>
      </w:r>
      <w:r>
        <w:t>2</w:t>
      </w:r>
      <w:r>
        <w:rPr>
          <w:rFonts w:hint="eastAsia"/>
          <w:lang w:val="en-US" w:eastAsia="zh-CN"/>
        </w:rPr>
        <w:t>5</w:t>
      </w:r>
      <w:r>
        <w:rPr>
          <w:rFonts w:hint="eastAsia"/>
        </w:rPr>
        <w:t>年</w:t>
      </w:r>
      <w:r>
        <w:rPr>
          <w:rFonts w:hint="eastAsia"/>
          <w:lang w:val="en-US" w:eastAsia="zh-CN"/>
        </w:rPr>
        <w:t>3</w:t>
      </w:r>
      <w:r>
        <w:rPr>
          <w:rFonts w:hint="eastAsia"/>
        </w:rPr>
        <w:t>月</w:t>
      </w:r>
      <w:r>
        <w:rPr>
          <w:rFonts w:hint="eastAsia"/>
          <w:lang w:val="en-US" w:eastAsia="zh-CN"/>
        </w:rPr>
        <w:t>7</w:t>
      </w:r>
      <w:r>
        <w:rPr>
          <w:rFonts w:hint="eastAsia"/>
        </w:rPr>
        <w:t>日—20</w:t>
      </w:r>
      <w:r>
        <w:t>2</w:t>
      </w:r>
      <w:r>
        <w:rPr>
          <w:rFonts w:hint="eastAsia"/>
          <w:lang w:val="en-US" w:eastAsia="zh-CN"/>
        </w:rPr>
        <w:t>5</w:t>
      </w:r>
      <w:r>
        <w:rPr>
          <w:rFonts w:hint="eastAsia"/>
        </w:rPr>
        <w:t>年</w:t>
      </w:r>
      <w:r>
        <w:rPr>
          <w:rFonts w:hint="eastAsia"/>
          <w:lang w:val="en-US" w:eastAsia="zh-CN"/>
        </w:rPr>
        <w:t>3</w:t>
      </w:r>
      <w:r>
        <w:rPr>
          <w:rFonts w:hint="eastAsia"/>
        </w:rPr>
        <w:t>月</w:t>
      </w:r>
      <w:r>
        <w:rPr>
          <w:rFonts w:hint="eastAsia"/>
          <w:lang w:val="en-US" w:eastAsia="zh-CN"/>
        </w:rPr>
        <w:t>9</w:t>
      </w:r>
      <w:r>
        <w:rPr>
          <w:rFonts w:hint="eastAsia"/>
        </w:rPr>
        <w:t>日；</w:t>
      </w:r>
    </w:p>
    <w:p w14:paraId="2F0F2FB2">
      <w:pPr>
        <w:pStyle w:val="43"/>
        <w:spacing w:line="360" w:lineRule="exact"/>
        <w:ind w:left="2400" w:leftChars="400" w:hanging="1440" w:hangingChars="600"/>
        <w:jc w:val="left"/>
      </w:pPr>
      <w:r>
        <w:t>2</w:t>
      </w:r>
      <w:r>
        <w:rPr>
          <w:rFonts w:hint="eastAsia"/>
        </w:rPr>
        <w:t>、报名地点：赣江新区人民医院行政楼南楼5楼后勤保障处；</w:t>
      </w:r>
    </w:p>
    <w:p w14:paraId="4D7AB37C">
      <w:pPr>
        <w:pStyle w:val="43"/>
        <w:spacing w:line="360" w:lineRule="exact"/>
        <w:ind w:left="480" w:leftChars="200" w:firstLine="480"/>
      </w:pPr>
      <w:r>
        <w:rPr>
          <w:rFonts w:hint="eastAsia"/>
        </w:rPr>
        <w:t>3、开标时间、地点：</w:t>
      </w:r>
      <w:r>
        <w:rPr>
          <w:rFonts w:hint="eastAsia"/>
          <w:b/>
          <w:bCs/>
        </w:rPr>
        <w:t>20</w:t>
      </w:r>
      <w:r>
        <w:rPr>
          <w:b/>
          <w:bCs/>
        </w:rPr>
        <w:t>2</w:t>
      </w:r>
      <w:r>
        <w:rPr>
          <w:rFonts w:hint="eastAsia"/>
          <w:b/>
          <w:bCs/>
          <w:lang w:val="en-US" w:eastAsia="zh-CN"/>
        </w:rPr>
        <w:t>5</w:t>
      </w:r>
      <w:r>
        <w:rPr>
          <w:rFonts w:hint="eastAsia"/>
          <w:b/>
          <w:bCs/>
        </w:rPr>
        <w:t>年</w:t>
      </w:r>
      <w:r>
        <w:rPr>
          <w:rFonts w:hint="eastAsia"/>
          <w:b/>
          <w:bCs/>
          <w:lang w:val="en-US" w:eastAsia="zh-CN"/>
        </w:rPr>
        <w:t>3</w:t>
      </w:r>
      <w:r>
        <w:rPr>
          <w:rFonts w:hint="eastAsia"/>
          <w:b/>
          <w:bCs/>
        </w:rPr>
        <w:t>月</w:t>
      </w:r>
      <w:r>
        <w:rPr>
          <w:rFonts w:hint="eastAsia"/>
          <w:b/>
          <w:bCs/>
          <w:lang w:val="en-US" w:eastAsia="zh-CN"/>
        </w:rPr>
        <w:t>10</w:t>
      </w:r>
      <w:r>
        <w:rPr>
          <w:rFonts w:hint="eastAsia"/>
          <w:b/>
          <w:bCs/>
        </w:rPr>
        <w:t>日</w:t>
      </w:r>
      <w:r>
        <w:rPr>
          <w:rFonts w:hint="eastAsia"/>
          <w:b/>
          <w:bCs/>
          <w:lang w:val="en-US" w:eastAsia="zh-CN"/>
        </w:rPr>
        <w:t>上午10:00</w:t>
      </w:r>
      <w:r>
        <w:rPr>
          <w:rFonts w:hint="eastAsia"/>
        </w:rPr>
        <w:t>赣江新区人民医院行政楼南楼5楼</w:t>
      </w:r>
      <w:r>
        <w:rPr>
          <w:rFonts w:hint="eastAsia"/>
          <w:lang w:val="en-US" w:eastAsia="zh-CN"/>
        </w:rPr>
        <w:t>会议室</w:t>
      </w:r>
      <w:r>
        <w:rPr>
          <w:rFonts w:hint="eastAsia"/>
        </w:rPr>
        <w:t>；</w:t>
      </w:r>
    </w:p>
    <w:p w14:paraId="320A0629">
      <w:pPr>
        <w:widowControl/>
        <w:spacing w:line="360" w:lineRule="exact"/>
        <w:ind w:left="2400" w:leftChars="400" w:hanging="1440" w:hangingChars="600"/>
        <w:jc w:val="left"/>
        <w:rPr>
          <w:rFonts w:hint="default" w:eastAsia="宋体"/>
          <w:lang w:val="en-US" w:eastAsia="zh-CN"/>
        </w:rPr>
      </w:pPr>
      <w:r>
        <w:rPr>
          <w:rFonts w:hint="eastAsia"/>
        </w:rPr>
        <w:t>4、联系人：</w:t>
      </w:r>
      <w:r>
        <w:rPr>
          <w:rFonts w:hint="eastAsia"/>
          <w:lang w:val="en-US" w:eastAsia="zh-CN"/>
        </w:rPr>
        <w:t>周</w:t>
      </w:r>
      <w:r>
        <w:rPr>
          <w:rFonts w:hint="eastAsia"/>
        </w:rPr>
        <w:t>老师     联系电话：</w:t>
      </w:r>
      <w:r>
        <w:t>0791-</w:t>
      </w:r>
      <w:bookmarkStart w:id="42" w:name="_GoBack"/>
      <w:bookmarkEnd w:id="42"/>
      <w:r>
        <w:t>883853</w:t>
      </w:r>
      <w:r>
        <w:rPr>
          <w:rFonts w:hint="eastAsia"/>
          <w:lang w:val="en-US" w:eastAsia="zh-CN"/>
        </w:rPr>
        <w:t>50</w:t>
      </w:r>
    </w:p>
    <w:p w14:paraId="6C208733">
      <w:pPr>
        <w:widowControl/>
        <w:spacing w:line="360" w:lineRule="exact"/>
        <w:jc w:val="left"/>
        <w:rPr>
          <w:rFonts w:hint="default" w:eastAsia="宋体"/>
          <w:lang w:eastAsia="zh-Hans"/>
        </w:rPr>
        <w:sectPr>
          <w:footerReference r:id="rId6" w:type="first"/>
          <w:pgSz w:w="11907" w:h="16840"/>
          <w:pgMar w:top="1418" w:right="1418" w:bottom="1418" w:left="1814" w:header="1134" w:footer="851" w:gutter="0"/>
          <w:pgNumType w:start="1"/>
          <w:cols w:space="425" w:num="1"/>
          <w:titlePg/>
          <w:docGrid w:type="linesAndChars" w:linePitch="312" w:charSpace="0"/>
        </w:sectPr>
      </w:pPr>
    </w:p>
    <w:p w14:paraId="6754E364">
      <w:pPr>
        <w:rPr>
          <w:rFonts w:hint="default" w:eastAsia="宋体"/>
          <w:lang w:val="en-US" w:eastAsia="zh-CN"/>
        </w:rPr>
      </w:pPr>
      <w:r>
        <w:rPr>
          <w:rFonts w:hint="eastAsia"/>
          <w:lang w:val="en-US" w:eastAsia="zh-CN"/>
        </w:rPr>
        <w:t>附件:</w:t>
      </w:r>
    </w:p>
    <w:p w14:paraId="489DD02C">
      <w:pPr>
        <w:jc w:val="center"/>
        <w:rPr>
          <w:rFonts w:hint="eastAsia" w:eastAsia="宋体"/>
          <w:b/>
          <w:bCs/>
          <w:sz w:val="44"/>
          <w:szCs w:val="44"/>
          <w:lang w:val="en-US" w:eastAsia="zh-CN"/>
        </w:rPr>
      </w:pPr>
      <w:r>
        <w:rPr>
          <w:rFonts w:hint="eastAsia"/>
          <w:b/>
          <w:bCs/>
          <w:sz w:val="44"/>
          <w:szCs w:val="44"/>
          <w:lang w:val="en-US" w:eastAsia="zh-CN"/>
        </w:rPr>
        <w:t>考核表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371"/>
        <w:gridCol w:w="1059"/>
        <w:gridCol w:w="1041"/>
        <w:gridCol w:w="1747"/>
        <w:gridCol w:w="1022"/>
      </w:tblGrid>
      <w:tr w14:paraId="2263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455B0D97">
            <w:pPr>
              <w:pStyle w:val="43"/>
              <w:spacing w:line="360" w:lineRule="exact"/>
              <w:ind w:left="0" w:leftChars="0" w:firstLine="0" w:firstLineChars="0"/>
              <w:rPr>
                <w:rFonts w:hint="eastAsia" w:eastAsia="宋体"/>
                <w:vertAlign w:val="baseline"/>
                <w:lang w:val="en-US" w:eastAsia="zh-CN"/>
              </w:rPr>
            </w:pPr>
            <w:r>
              <w:rPr>
                <w:rFonts w:hint="eastAsia"/>
                <w:vertAlign w:val="baseline"/>
                <w:lang w:val="en-US" w:eastAsia="zh-CN"/>
              </w:rPr>
              <w:t>序号</w:t>
            </w:r>
          </w:p>
        </w:tc>
        <w:tc>
          <w:tcPr>
            <w:tcW w:w="3371" w:type="dxa"/>
            <w:vAlign w:val="center"/>
          </w:tcPr>
          <w:p w14:paraId="7F57BE96">
            <w:pPr>
              <w:pStyle w:val="43"/>
              <w:spacing w:line="360" w:lineRule="exact"/>
              <w:jc w:val="center"/>
              <w:rPr>
                <w:rFonts w:hint="eastAsia" w:eastAsia="宋体"/>
                <w:vertAlign w:val="baseline"/>
                <w:lang w:val="en-US" w:eastAsia="zh-CN"/>
              </w:rPr>
            </w:pPr>
            <w:r>
              <w:rPr>
                <w:rFonts w:hint="eastAsia"/>
                <w:vertAlign w:val="baseline"/>
                <w:lang w:val="en-US" w:eastAsia="zh-CN"/>
              </w:rPr>
              <w:t>考核指标</w:t>
            </w:r>
          </w:p>
        </w:tc>
        <w:tc>
          <w:tcPr>
            <w:tcW w:w="1059" w:type="dxa"/>
            <w:vAlign w:val="center"/>
          </w:tcPr>
          <w:p w14:paraId="5ED26B9C">
            <w:pPr>
              <w:pStyle w:val="43"/>
              <w:spacing w:line="360" w:lineRule="exact"/>
              <w:ind w:left="0" w:leftChars="0" w:firstLine="0" w:firstLineChars="0"/>
              <w:jc w:val="center"/>
              <w:rPr>
                <w:rFonts w:hint="default" w:eastAsia="宋体"/>
                <w:vertAlign w:val="baseline"/>
                <w:lang w:val="en-US" w:eastAsia="zh-CN"/>
              </w:rPr>
            </w:pPr>
            <w:r>
              <w:rPr>
                <w:rFonts w:hint="eastAsia"/>
                <w:vertAlign w:val="baseline"/>
                <w:lang w:val="en-US" w:eastAsia="zh-CN"/>
              </w:rPr>
              <w:t>标准分值</w:t>
            </w:r>
          </w:p>
        </w:tc>
        <w:tc>
          <w:tcPr>
            <w:tcW w:w="1041" w:type="dxa"/>
            <w:vAlign w:val="center"/>
          </w:tcPr>
          <w:p w14:paraId="6B3AC48B">
            <w:pPr>
              <w:pStyle w:val="43"/>
              <w:spacing w:line="360" w:lineRule="exact"/>
              <w:ind w:left="0" w:leftChars="0" w:firstLine="0" w:firstLineChars="0"/>
              <w:jc w:val="center"/>
              <w:rPr>
                <w:rFonts w:hint="default" w:eastAsia="宋体"/>
                <w:vertAlign w:val="baseline"/>
                <w:lang w:val="en-US" w:eastAsia="zh-CN"/>
              </w:rPr>
            </w:pPr>
            <w:r>
              <w:rPr>
                <w:rFonts w:hint="eastAsia"/>
                <w:vertAlign w:val="baseline"/>
                <w:lang w:val="en-US" w:eastAsia="zh-CN"/>
              </w:rPr>
              <w:t>考核得分</w:t>
            </w:r>
          </w:p>
        </w:tc>
        <w:tc>
          <w:tcPr>
            <w:tcW w:w="1747" w:type="dxa"/>
            <w:vAlign w:val="center"/>
          </w:tcPr>
          <w:p w14:paraId="6B17AF1F">
            <w:pPr>
              <w:pStyle w:val="43"/>
              <w:spacing w:line="360" w:lineRule="exact"/>
              <w:ind w:left="0" w:leftChars="0" w:firstLine="0" w:firstLineChars="0"/>
              <w:jc w:val="center"/>
              <w:rPr>
                <w:rFonts w:hint="default" w:eastAsia="宋体"/>
                <w:vertAlign w:val="baseline"/>
                <w:lang w:val="en-US" w:eastAsia="zh-CN"/>
              </w:rPr>
            </w:pPr>
            <w:r>
              <w:rPr>
                <w:rFonts w:hint="eastAsia"/>
                <w:vertAlign w:val="baseline"/>
                <w:lang w:val="en-US" w:eastAsia="zh-CN"/>
              </w:rPr>
              <w:t>扣分原因</w:t>
            </w:r>
          </w:p>
        </w:tc>
        <w:tc>
          <w:tcPr>
            <w:tcW w:w="1022" w:type="dxa"/>
            <w:vAlign w:val="center"/>
          </w:tcPr>
          <w:p w14:paraId="150F2117">
            <w:pPr>
              <w:pStyle w:val="43"/>
              <w:spacing w:line="360" w:lineRule="exact"/>
              <w:ind w:left="0" w:leftChars="0" w:firstLine="0" w:firstLineChars="0"/>
              <w:jc w:val="center"/>
              <w:rPr>
                <w:rFonts w:hint="default"/>
                <w:vertAlign w:val="baseline"/>
                <w:lang w:val="en-US" w:eastAsia="zh-CN"/>
              </w:rPr>
            </w:pPr>
            <w:r>
              <w:rPr>
                <w:rFonts w:hint="eastAsia"/>
                <w:vertAlign w:val="baseline"/>
                <w:lang w:val="en-US" w:eastAsia="zh-CN"/>
              </w:rPr>
              <w:t>备注</w:t>
            </w:r>
          </w:p>
        </w:tc>
      </w:tr>
      <w:tr w14:paraId="57CC1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48" w:type="dxa"/>
            <w:vAlign w:val="top"/>
          </w:tcPr>
          <w:p w14:paraId="4A61286B">
            <w:pPr>
              <w:pStyle w:val="43"/>
              <w:spacing w:line="360" w:lineRule="exact"/>
              <w:ind w:left="0" w:leftChars="0" w:firstLine="0" w:firstLineChars="0"/>
              <w:jc w:val="both"/>
              <w:rPr>
                <w:rFonts w:hint="default" w:eastAsia="宋体"/>
                <w:b/>
                <w:bCs/>
                <w:vertAlign w:val="baseline"/>
                <w:lang w:val="en-US" w:eastAsia="zh-CN"/>
              </w:rPr>
            </w:pPr>
            <w:r>
              <w:rPr>
                <w:rFonts w:hint="eastAsia"/>
                <w:b/>
                <w:bCs/>
                <w:vertAlign w:val="baseline"/>
                <w:lang w:val="en-US" w:eastAsia="zh-CN"/>
              </w:rPr>
              <w:t>A</w:t>
            </w:r>
          </w:p>
        </w:tc>
        <w:tc>
          <w:tcPr>
            <w:tcW w:w="3371" w:type="dxa"/>
            <w:vAlign w:val="top"/>
          </w:tcPr>
          <w:p w14:paraId="437BBEA2">
            <w:pPr>
              <w:pStyle w:val="43"/>
              <w:spacing w:line="360" w:lineRule="exact"/>
              <w:jc w:val="left"/>
              <w:rPr>
                <w:rFonts w:hint="default" w:eastAsia="宋体"/>
                <w:b/>
                <w:bCs/>
                <w:vertAlign w:val="baseline"/>
                <w:lang w:val="en-US" w:eastAsia="zh-CN"/>
              </w:rPr>
            </w:pPr>
            <w:r>
              <w:rPr>
                <w:rFonts w:hint="eastAsia"/>
                <w:b/>
                <w:bCs/>
                <w:vertAlign w:val="baseline"/>
                <w:lang w:val="en-US" w:eastAsia="zh-CN"/>
              </w:rPr>
              <w:t>投标预算</w:t>
            </w:r>
          </w:p>
        </w:tc>
        <w:tc>
          <w:tcPr>
            <w:tcW w:w="1059" w:type="dxa"/>
            <w:vAlign w:val="top"/>
          </w:tcPr>
          <w:p w14:paraId="1E2C97BF">
            <w:pPr>
              <w:pStyle w:val="43"/>
              <w:spacing w:line="360" w:lineRule="exact"/>
              <w:ind w:left="0" w:leftChars="0" w:firstLine="0" w:firstLineChars="0"/>
              <w:jc w:val="center"/>
              <w:rPr>
                <w:rFonts w:hint="default" w:eastAsia="宋体"/>
                <w:vertAlign w:val="baseline"/>
                <w:lang w:val="en-US" w:eastAsia="zh-CN"/>
              </w:rPr>
            </w:pPr>
            <w:r>
              <w:rPr>
                <w:rFonts w:hint="eastAsia"/>
                <w:b/>
                <w:bCs/>
                <w:vertAlign w:val="baseline"/>
                <w:lang w:val="en-US" w:eastAsia="zh-CN"/>
              </w:rPr>
              <w:t>35</w:t>
            </w:r>
          </w:p>
        </w:tc>
        <w:tc>
          <w:tcPr>
            <w:tcW w:w="1041" w:type="dxa"/>
            <w:vAlign w:val="top"/>
          </w:tcPr>
          <w:p w14:paraId="7B0BF317">
            <w:pPr>
              <w:pStyle w:val="43"/>
              <w:spacing w:line="360" w:lineRule="exact"/>
              <w:jc w:val="left"/>
              <w:rPr>
                <w:rFonts w:hint="default" w:eastAsia="宋体"/>
                <w:vertAlign w:val="baseline"/>
                <w:lang w:val="en-US" w:eastAsia="zh-Hans"/>
              </w:rPr>
            </w:pPr>
          </w:p>
        </w:tc>
        <w:tc>
          <w:tcPr>
            <w:tcW w:w="1747" w:type="dxa"/>
            <w:vAlign w:val="top"/>
          </w:tcPr>
          <w:p w14:paraId="45D4F984">
            <w:pPr>
              <w:pStyle w:val="43"/>
              <w:spacing w:line="360" w:lineRule="exact"/>
              <w:jc w:val="left"/>
              <w:rPr>
                <w:rFonts w:hint="default" w:eastAsia="宋体"/>
                <w:vertAlign w:val="baseline"/>
                <w:lang w:val="en-US" w:eastAsia="zh-Hans"/>
              </w:rPr>
            </w:pPr>
          </w:p>
        </w:tc>
        <w:tc>
          <w:tcPr>
            <w:tcW w:w="1022" w:type="dxa"/>
            <w:vAlign w:val="top"/>
          </w:tcPr>
          <w:p w14:paraId="4A888257">
            <w:pPr>
              <w:pStyle w:val="43"/>
              <w:spacing w:line="360" w:lineRule="exact"/>
              <w:jc w:val="left"/>
              <w:rPr>
                <w:rFonts w:hint="default" w:eastAsia="宋体"/>
                <w:vertAlign w:val="baseline"/>
                <w:lang w:val="en-US" w:eastAsia="zh-Hans"/>
              </w:rPr>
            </w:pPr>
          </w:p>
        </w:tc>
      </w:tr>
      <w:tr w14:paraId="253AE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48" w:type="dxa"/>
            <w:vAlign w:val="top"/>
          </w:tcPr>
          <w:p w14:paraId="632DAC29">
            <w:pPr>
              <w:pStyle w:val="43"/>
              <w:spacing w:line="360" w:lineRule="exact"/>
              <w:ind w:left="0" w:leftChars="0" w:firstLine="0" w:firstLineChars="0"/>
              <w:jc w:val="both"/>
              <w:rPr>
                <w:rFonts w:hint="eastAsia" w:eastAsia="宋体"/>
                <w:vertAlign w:val="baseline"/>
                <w:lang w:val="en-US" w:eastAsia="zh-CN"/>
              </w:rPr>
            </w:pPr>
            <w:r>
              <w:rPr>
                <w:rFonts w:hint="eastAsia"/>
                <w:vertAlign w:val="baseline"/>
                <w:lang w:val="en-US" w:eastAsia="zh-CN"/>
              </w:rPr>
              <w:t>1</w:t>
            </w:r>
          </w:p>
        </w:tc>
        <w:tc>
          <w:tcPr>
            <w:tcW w:w="3371" w:type="dxa"/>
            <w:vAlign w:val="top"/>
          </w:tcPr>
          <w:p w14:paraId="7280E229">
            <w:pPr>
              <w:pStyle w:val="43"/>
              <w:spacing w:line="360" w:lineRule="exact"/>
              <w:ind w:left="0" w:leftChars="0" w:firstLine="0" w:firstLineChars="0"/>
              <w:jc w:val="left"/>
              <w:rPr>
                <w:rFonts w:hint="default" w:eastAsia="宋体"/>
                <w:vertAlign w:val="baseline"/>
                <w:lang w:val="en-US" w:eastAsia="zh-Hans"/>
              </w:rPr>
            </w:pPr>
            <w:r>
              <w:rPr>
                <w:rFonts w:hint="default" w:eastAsia="宋体"/>
                <w:vertAlign w:val="baseline"/>
                <w:lang w:val="en-US" w:eastAsia="zh-Hans"/>
              </w:rPr>
              <w:t>沟通到位，服务热情，完成本月投标预算目标数额</w:t>
            </w:r>
          </w:p>
        </w:tc>
        <w:tc>
          <w:tcPr>
            <w:tcW w:w="1059" w:type="dxa"/>
            <w:vAlign w:val="top"/>
          </w:tcPr>
          <w:p w14:paraId="18FC36BA">
            <w:pPr>
              <w:pStyle w:val="43"/>
              <w:spacing w:line="360" w:lineRule="exact"/>
              <w:ind w:left="0" w:leftChars="0" w:firstLine="0" w:firstLineChars="0"/>
              <w:jc w:val="both"/>
              <w:rPr>
                <w:rFonts w:hint="default" w:eastAsia="宋体"/>
                <w:vertAlign w:val="baseline"/>
                <w:lang w:val="en-US" w:eastAsia="zh-CN"/>
              </w:rPr>
            </w:pPr>
            <w:r>
              <w:rPr>
                <w:rFonts w:hint="eastAsia"/>
                <w:vertAlign w:val="baseline"/>
                <w:lang w:val="en-US" w:eastAsia="zh-CN"/>
              </w:rPr>
              <w:t>15</w:t>
            </w:r>
          </w:p>
        </w:tc>
        <w:tc>
          <w:tcPr>
            <w:tcW w:w="1041" w:type="dxa"/>
            <w:vAlign w:val="top"/>
          </w:tcPr>
          <w:p w14:paraId="56E3DA51">
            <w:pPr>
              <w:pStyle w:val="43"/>
              <w:spacing w:line="360" w:lineRule="exact"/>
              <w:jc w:val="left"/>
              <w:rPr>
                <w:rFonts w:hint="default" w:eastAsia="宋体"/>
                <w:vertAlign w:val="baseline"/>
                <w:lang w:val="en-US" w:eastAsia="zh-Hans"/>
              </w:rPr>
            </w:pPr>
          </w:p>
        </w:tc>
        <w:tc>
          <w:tcPr>
            <w:tcW w:w="1747" w:type="dxa"/>
            <w:vAlign w:val="top"/>
          </w:tcPr>
          <w:p w14:paraId="739FE209">
            <w:pPr>
              <w:pStyle w:val="43"/>
              <w:spacing w:line="360" w:lineRule="exact"/>
              <w:jc w:val="left"/>
              <w:rPr>
                <w:rFonts w:hint="default" w:eastAsia="宋体"/>
                <w:vertAlign w:val="baseline"/>
                <w:lang w:val="en-US" w:eastAsia="zh-Hans"/>
              </w:rPr>
            </w:pPr>
          </w:p>
        </w:tc>
        <w:tc>
          <w:tcPr>
            <w:tcW w:w="1022" w:type="dxa"/>
            <w:vAlign w:val="top"/>
          </w:tcPr>
          <w:p w14:paraId="2A8E9B32">
            <w:pPr>
              <w:pStyle w:val="43"/>
              <w:spacing w:line="360" w:lineRule="exact"/>
              <w:jc w:val="left"/>
              <w:rPr>
                <w:rFonts w:hint="default" w:eastAsia="宋体"/>
                <w:vertAlign w:val="baseline"/>
                <w:lang w:val="en-US" w:eastAsia="zh-Hans"/>
              </w:rPr>
            </w:pPr>
          </w:p>
        </w:tc>
      </w:tr>
      <w:tr w14:paraId="0E552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48" w:type="dxa"/>
            <w:vAlign w:val="top"/>
          </w:tcPr>
          <w:p w14:paraId="6C515144">
            <w:pPr>
              <w:pStyle w:val="43"/>
              <w:spacing w:line="360" w:lineRule="exact"/>
              <w:ind w:left="0" w:leftChars="0" w:firstLine="0" w:firstLineChars="0"/>
              <w:jc w:val="both"/>
              <w:rPr>
                <w:rFonts w:hint="eastAsia" w:eastAsia="宋体"/>
                <w:vertAlign w:val="baseline"/>
                <w:lang w:val="en-US" w:eastAsia="zh-CN"/>
              </w:rPr>
            </w:pPr>
            <w:r>
              <w:rPr>
                <w:rFonts w:hint="eastAsia"/>
                <w:vertAlign w:val="baseline"/>
                <w:lang w:val="en-US" w:eastAsia="zh-CN"/>
              </w:rPr>
              <w:t>2</w:t>
            </w:r>
          </w:p>
        </w:tc>
        <w:tc>
          <w:tcPr>
            <w:tcW w:w="3371" w:type="dxa"/>
            <w:vAlign w:val="top"/>
          </w:tcPr>
          <w:p w14:paraId="775EB65F">
            <w:pPr>
              <w:pStyle w:val="43"/>
              <w:spacing w:line="360" w:lineRule="exact"/>
              <w:ind w:left="0" w:leftChars="0" w:firstLine="0" w:firstLineChars="0"/>
              <w:jc w:val="left"/>
              <w:rPr>
                <w:rFonts w:hint="default" w:eastAsia="宋体"/>
                <w:vertAlign w:val="baseline"/>
                <w:lang w:val="en-US" w:eastAsia="zh-Hans"/>
              </w:rPr>
            </w:pPr>
            <w:r>
              <w:rPr>
                <w:rFonts w:hint="default" w:eastAsia="宋体"/>
                <w:vertAlign w:val="baseline"/>
                <w:lang w:val="en-US" w:eastAsia="zh-Hans"/>
              </w:rPr>
              <w:t>按时完成投标预算，编制规范，计算准确，偏差率控制在 3-5%内</w:t>
            </w:r>
          </w:p>
        </w:tc>
        <w:tc>
          <w:tcPr>
            <w:tcW w:w="1059" w:type="dxa"/>
            <w:vAlign w:val="top"/>
          </w:tcPr>
          <w:p w14:paraId="788CD257">
            <w:pPr>
              <w:pStyle w:val="43"/>
              <w:spacing w:line="360" w:lineRule="exact"/>
              <w:ind w:left="0" w:leftChars="0" w:firstLine="0" w:firstLineChars="0"/>
              <w:jc w:val="both"/>
              <w:rPr>
                <w:rFonts w:hint="default" w:eastAsia="宋体"/>
                <w:vertAlign w:val="baseline"/>
                <w:lang w:val="en-US" w:eastAsia="zh-CN"/>
              </w:rPr>
            </w:pPr>
            <w:r>
              <w:rPr>
                <w:rFonts w:hint="eastAsia"/>
                <w:vertAlign w:val="baseline"/>
                <w:lang w:val="en-US" w:eastAsia="zh-CN"/>
              </w:rPr>
              <w:t>20</w:t>
            </w:r>
          </w:p>
        </w:tc>
        <w:tc>
          <w:tcPr>
            <w:tcW w:w="1041" w:type="dxa"/>
            <w:vAlign w:val="top"/>
          </w:tcPr>
          <w:p w14:paraId="649D11A2">
            <w:pPr>
              <w:pStyle w:val="43"/>
              <w:spacing w:line="360" w:lineRule="exact"/>
              <w:jc w:val="left"/>
              <w:rPr>
                <w:rFonts w:hint="default" w:eastAsia="宋体"/>
                <w:vertAlign w:val="baseline"/>
                <w:lang w:val="en-US" w:eastAsia="zh-Hans"/>
              </w:rPr>
            </w:pPr>
          </w:p>
        </w:tc>
        <w:tc>
          <w:tcPr>
            <w:tcW w:w="1747" w:type="dxa"/>
            <w:vAlign w:val="top"/>
          </w:tcPr>
          <w:p w14:paraId="5445A058">
            <w:pPr>
              <w:pStyle w:val="43"/>
              <w:spacing w:line="360" w:lineRule="exact"/>
              <w:jc w:val="left"/>
              <w:rPr>
                <w:rFonts w:hint="default" w:eastAsia="宋体"/>
                <w:vertAlign w:val="baseline"/>
                <w:lang w:val="en-US" w:eastAsia="zh-Hans"/>
              </w:rPr>
            </w:pPr>
          </w:p>
        </w:tc>
        <w:tc>
          <w:tcPr>
            <w:tcW w:w="1022" w:type="dxa"/>
            <w:vAlign w:val="top"/>
          </w:tcPr>
          <w:p w14:paraId="699E1E6C">
            <w:pPr>
              <w:pStyle w:val="43"/>
              <w:spacing w:line="360" w:lineRule="exact"/>
              <w:jc w:val="left"/>
              <w:rPr>
                <w:rFonts w:hint="default" w:eastAsia="宋体"/>
                <w:vertAlign w:val="baseline"/>
                <w:lang w:val="en-US" w:eastAsia="zh-Hans"/>
              </w:rPr>
            </w:pPr>
          </w:p>
        </w:tc>
      </w:tr>
      <w:tr w14:paraId="5850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48" w:type="dxa"/>
            <w:vAlign w:val="top"/>
          </w:tcPr>
          <w:p w14:paraId="675B5026">
            <w:pPr>
              <w:pStyle w:val="43"/>
              <w:spacing w:line="360" w:lineRule="exact"/>
              <w:ind w:left="0" w:leftChars="0" w:firstLine="0" w:firstLineChars="0"/>
              <w:jc w:val="both"/>
              <w:rPr>
                <w:rFonts w:hint="eastAsia" w:eastAsia="宋体"/>
                <w:b/>
                <w:bCs/>
                <w:vertAlign w:val="baseline"/>
                <w:lang w:val="en-US" w:eastAsia="zh-CN"/>
              </w:rPr>
            </w:pPr>
            <w:r>
              <w:rPr>
                <w:rFonts w:hint="eastAsia"/>
                <w:b/>
                <w:bCs/>
                <w:vertAlign w:val="baseline"/>
                <w:lang w:val="en-US" w:eastAsia="zh-CN"/>
              </w:rPr>
              <w:t>B</w:t>
            </w:r>
          </w:p>
        </w:tc>
        <w:tc>
          <w:tcPr>
            <w:tcW w:w="3371" w:type="dxa"/>
            <w:vAlign w:val="top"/>
          </w:tcPr>
          <w:p w14:paraId="0735C8A0">
            <w:pPr>
              <w:pStyle w:val="43"/>
              <w:spacing w:line="360" w:lineRule="exact"/>
              <w:ind w:left="0" w:leftChars="0" w:firstLine="0" w:firstLineChars="0"/>
              <w:jc w:val="left"/>
              <w:rPr>
                <w:rFonts w:hint="default" w:eastAsia="宋体"/>
                <w:b/>
                <w:bCs/>
                <w:vertAlign w:val="baseline"/>
                <w:lang w:val="en-US" w:eastAsia="zh-Hans"/>
              </w:rPr>
            </w:pPr>
            <w:r>
              <w:rPr>
                <w:rFonts w:hint="default" w:eastAsia="宋体"/>
                <w:b/>
                <w:bCs/>
                <w:vertAlign w:val="baseline"/>
                <w:lang w:val="en-US" w:eastAsia="zh-Hans"/>
              </w:rPr>
              <w:t>施工图预算(成本计划)</w:t>
            </w:r>
          </w:p>
        </w:tc>
        <w:tc>
          <w:tcPr>
            <w:tcW w:w="1059" w:type="dxa"/>
            <w:vAlign w:val="top"/>
          </w:tcPr>
          <w:p w14:paraId="6E592E34">
            <w:pPr>
              <w:pStyle w:val="43"/>
              <w:spacing w:line="360" w:lineRule="exact"/>
              <w:ind w:left="0" w:leftChars="0" w:firstLine="0" w:firstLineChars="0"/>
              <w:jc w:val="center"/>
              <w:rPr>
                <w:rFonts w:hint="default" w:eastAsia="宋体"/>
                <w:vertAlign w:val="baseline"/>
                <w:lang w:val="en-US" w:eastAsia="zh-CN"/>
              </w:rPr>
            </w:pPr>
            <w:r>
              <w:rPr>
                <w:rFonts w:hint="eastAsia"/>
                <w:b/>
                <w:bCs/>
                <w:vertAlign w:val="baseline"/>
                <w:lang w:val="en-US" w:eastAsia="zh-CN"/>
              </w:rPr>
              <w:t>15</w:t>
            </w:r>
          </w:p>
        </w:tc>
        <w:tc>
          <w:tcPr>
            <w:tcW w:w="1041" w:type="dxa"/>
            <w:vAlign w:val="top"/>
          </w:tcPr>
          <w:p w14:paraId="7535753A">
            <w:pPr>
              <w:pStyle w:val="43"/>
              <w:spacing w:line="360" w:lineRule="exact"/>
              <w:jc w:val="left"/>
              <w:rPr>
                <w:rFonts w:hint="default" w:eastAsia="宋体"/>
                <w:vertAlign w:val="baseline"/>
                <w:lang w:val="en-US" w:eastAsia="zh-Hans"/>
              </w:rPr>
            </w:pPr>
          </w:p>
        </w:tc>
        <w:tc>
          <w:tcPr>
            <w:tcW w:w="1747" w:type="dxa"/>
            <w:vAlign w:val="top"/>
          </w:tcPr>
          <w:p w14:paraId="07317A83">
            <w:pPr>
              <w:pStyle w:val="43"/>
              <w:spacing w:line="360" w:lineRule="exact"/>
              <w:jc w:val="left"/>
              <w:rPr>
                <w:rFonts w:hint="default" w:eastAsia="宋体"/>
                <w:vertAlign w:val="baseline"/>
                <w:lang w:val="en-US" w:eastAsia="zh-Hans"/>
              </w:rPr>
            </w:pPr>
          </w:p>
        </w:tc>
        <w:tc>
          <w:tcPr>
            <w:tcW w:w="1022" w:type="dxa"/>
            <w:vAlign w:val="top"/>
          </w:tcPr>
          <w:p w14:paraId="05E643DC">
            <w:pPr>
              <w:pStyle w:val="43"/>
              <w:spacing w:line="360" w:lineRule="exact"/>
              <w:jc w:val="left"/>
              <w:rPr>
                <w:rFonts w:hint="default" w:eastAsia="宋体"/>
                <w:vertAlign w:val="baseline"/>
                <w:lang w:val="en-US" w:eastAsia="zh-Hans"/>
              </w:rPr>
            </w:pPr>
          </w:p>
        </w:tc>
      </w:tr>
      <w:tr w14:paraId="0869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48" w:type="dxa"/>
            <w:vAlign w:val="top"/>
          </w:tcPr>
          <w:p w14:paraId="5390601A">
            <w:pPr>
              <w:pStyle w:val="43"/>
              <w:spacing w:line="360" w:lineRule="exact"/>
              <w:ind w:left="0" w:leftChars="0" w:firstLine="0" w:firstLineChars="0"/>
              <w:jc w:val="both"/>
              <w:rPr>
                <w:rFonts w:hint="eastAsia" w:eastAsia="宋体"/>
                <w:vertAlign w:val="baseline"/>
                <w:lang w:val="en-US" w:eastAsia="zh-CN"/>
              </w:rPr>
            </w:pPr>
            <w:r>
              <w:rPr>
                <w:rFonts w:hint="eastAsia"/>
                <w:vertAlign w:val="baseline"/>
                <w:lang w:val="en-US" w:eastAsia="zh-CN"/>
              </w:rPr>
              <w:t>1</w:t>
            </w:r>
          </w:p>
        </w:tc>
        <w:tc>
          <w:tcPr>
            <w:tcW w:w="3371" w:type="dxa"/>
            <w:vAlign w:val="top"/>
          </w:tcPr>
          <w:p w14:paraId="55407DA1">
            <w:pPr>
              <w:pStyle w:val="43"/>
              <w:spacing w:line="360" w:lineRule="exact"/>
              <w:ind w:left="0" w:leftChars="0" w:firstLine="0" w:firstLineChars="0"/>
              <w:jc w:val="left"/>
              <w:rPr>
                <w:rFonts w:hint="default" w:eastAsia="宋体"/>
                <w:vertAlign w:val="baseline"/>
                <w:lang w:val="en-US" w:eastAsia="zh-Hans"/>
              </w:rPr>
            </w:pPr>
            <w:r>
              <w:rPr>
                <w:rFonts w:hint="default" w:eastAsia="宋体"/>
                <w:vertAlign w:val="baseline"/>
                <w:lang w:val="en-US" w:eastAsia="zh-Hans"/>
              </w:rPr>
              <w:t>与</w:t>
            </w:r>
            <w:r>
              <w:rPr>
                <w:rFonts w:hint="eastAsia"/>
                <w:vertAlign w:val="baseline"/>
                <w:lang w:val="en-US" w:eastAsia="zh-CN"/>
              </w:rPr>
              <w:t>基建处</w:t>
            </w:r>
            <w:r>
              <w:rPr>
                <w:rFonts w:hint="default" w:eastAsia="宋体"/>
                <w:vertAlign w:val="baseline"/>
                <w:lang w:val="en-US" w:eastAsia="zh-Hans"/>
              </w:rPr>
              <w:t>沟通全面，掌握</w:t>
            </w:r>
            <w:r>
              <w:rPr>
                <w:rFonts w:hint="eastAsia"/>
                <w:vertAlign w:val="baseline"/>
                <w:lang w:val="en-US" w:eastAsia="zh-CN"/>
              </w:rPr>
              <w:t>零星施工</w:t>
            </w:r>
            <w:r>
              <w:rPr>
                <w:rFonts w:hint="default" w:eastAsia="宋体"/>
                <w:vertAlign w:val="baseline"/>
                <w:lang w:val="en-US" w:eastAsia="zh-Hans"/>
              </w:rPr>
              <w:t>合同和洁单计价规定</w:t>
            </w:r>
            <w:r>
              <w:rPr>
                <w:rFonts w:hint="eastAsia"/>
                <w:vertAlign w:val="baseline"/>
                <w:lang w:val="en-US" w:eastAsia="zh-CN"/>
              </w:rPr>
              <w:t>等</w:t>
            </w:r>
            <w:r>
              <w:rPr>
                <w:rFonts w:hint="default" w:eastAsia="宋体"/>
                <w:vertAlign w:val="baseline"/>
                <w:lang w:val="en-US" w:eastAsia="zh-Hans"/>
              </w:rPr>
              <w:t>，熟悉施工现场情况，明确施工组织程序和环节，了解市场或实际材料、机械、人工价格。</w:t>
            </w:r>
          </w:p>
        </w:tc>
        <w:tc>
          <w:tcPr>
            <w:tcW w:w="1059" w:type="dxa"/>
            <w:vAlign w:val="top"/>
          </w:tcPr>
          <w:p w14:paraId="17417BEF">
            <w:pPr>
              <w:pStyle w:val="43"/>
              <w:spacing w:line="360" w:lineRule="exact"/>
              <w:ind w:left="0" w:leftChars="0" w:firstLine="0" w:firstLineChars="0"/>
              <w:jc w:val="center"/>
              <w:rPr>
                <w:rFonts w:hint="eastAsia" w:eastAsia="宋体"/>
                <w:vertAlign w:val="baseline"/>
                <w:lang w:val="en-US" w:eastAsia="zh-CN"/>
              </w:rPr>
            </w:pPr>
            <w:r>
              <w:rPr>
                <w:rFonts w:hint="eastAsia"/>
                <w:vertAlign w:val="baseline"/>
                <w:lang w:val="en-US" w:eastAsia="zh-CN"/>
              </w:rPr>
              <w:t>5</w:t>
            </w:r>
          </w:p>
        </w:tc>
        <w:tc>
          <w:tcPr>
            <w:tcW w:w="1041" w:type="dxa"/>
            <w:vAlign w:val="top"/>
          </w:tcPr>
          <w:p w14:paraId="211CF088">
            <w:pPr>
              <w:pStyle w:val="43"/>
              <w:spacing w:line="360" w:lineRule="exact"/>
              <w:jc w:val="left"/>
              <w:rPr>
                <w:rFonts w:hint="default" w:eastAsia="宋体"/>
                <w:vertAlign w:val="baseline"/>
                <w:lang w:val="en-US" w:eastAsia="zh-Hans"/>
              </w:rPr>
            </w:pPr>
          </w:p>
        </w:tc>
        <w:tc>
          <w:tcPr>
            <w:tcW w:w="1747" w:type="dxa"/>
            <w:vAlign w:val="top"/>
          </w:tcPr>
          <w:p w14:paraId="1FA24B74">
            <w:pPr>
              <w:pStyle w:val="43"/>
              <w:spacing w:line="360" w:lineRule="exact"/>
              <w:jc w:val="left"/>
              <w:rPr>
                <w:rFonts w:hint="default" w:eastAsia="宋体"/>
                <w:vertAlign w:val="baseline"/>
                <w:lang w:val="en-US" w:eastAsia="zh-Hans"/>
              </w:rPr>
            </w:pPr>
          </w:p>
        </w:tc>
        <w:tc>
          <w:tcPr>
            <w:tcW w:w="1022" w:type="dxa"/>
            <w:vAlign w:val="top"/>
          </w:tcPr>
          <w:p w14:paraId="1689B0D1">
            <w:pPr>
              <w:pStyle w:val="43"/>
              <w:spacing w:line="360" w:lineRule="exact"/>
              <w:jc w:val="left"/>
              <w:rPr>
                <w:rFonts w:hint="default" w:eastAsia="宋体"/>
                <w:vertAlign w:val="baseline"/>
                <w:lang w:val="en-US" w:eastAsia="zh-Hans"/>
              </w:rPr>
            </w:pPr>
          </w:p>
        </w:tc>
      </w:tr>
      <w:tr w14:paraId="4E4D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48" w:type="dxa"/>
            <w:vAlign w:val="top"/>
          </w:tcPr>
          <w:p w14:paraId="4F3B3EC4">
            <w:pPr>
              <w:pStyle w:val="43"/>
              <w:spacing w:line="360" w:lineRule="exact"/>
              <w:ind w:left="0" w:leftChars="0" w:firstLine="0" w:firstLineChars="0"/>
              <w:jc w:val="both"/>
              <w:rPr>
                <w:rFonts w:hint="eastAsia" w:eastAsia="宋体"/>
                <w:vertAlign w:val="baseline"/>
                <w:lang w:val="en-US" w:eastAsia="zh-CN"/>
              </w:rPr>
            </w:pPr>
            <w:r>
              <w:rPr>
                <w:rFonts w:hint="eastAsia"/>
                <w:vertAlign w:val="baseline"/>
                <w:lang w:val="en-US" w:eastAsia="zh-CN"/>
              </w:rPr>
              <w:t>2</w:t>
            </w:r>
          </w:p>
        </w:tc>
        <w:tc>
          <w:tcPr>
            <w:tcW w:w="3371" w:type="dxa"/>
            <w:vAlign w:val="top"/>
          </w:tcPr>
          <w:p w14:paraId="48129076">
            <w:pPr>
              <w:pStyle w:val="43"/>
              <w:spacing w:line="360" w:lineRule="exact"/>
              <w:ind w:left="0" w:leftChars="0" w:firstLine="0" w:firstLineChars="0"/>
              <w:jc w:val="left"/>
              <w:rPr>
                <w:rFonts w:hint="default" w:eastAsia="宋体"/>
                <w:vertAlign w:val="baseline"/>
                <w:lang w:val="en-US" w:eastAsia="zh-Hans"/>
              </w:rPr>
            </w:pPr>
            <w:r>
              <w:rPr>
                <w:rFonts w:hint="default" w:eastAsia="宋体"/>
                <w:vertAlign w:val="baseline"/>
                <w:lang w:val="en-US" w:eastAsia="zh-Hans"/>
              </w:rPr>
              <w:t>在规定时间内完成施工图预算，分类规范，计算准确，偏差率控制在 3-5%内。</w:t>
            </w:r>
          </w:p>
        </w:tc>
        <w:tc>
          <w:tcPr>
            <w:tcW w:w="1059" w:type="dxa"/>
            <w:vAlign w:val="top"/>
          </w:tcPr>
          <w:p w14:paraId="00982091">
            <w:pPr>
              <w:pStyle w:val="43"/>
              <w:spacing w:line="360" w:lineRule="exact"/>
              <w:ind w:left="0" w:leftChars="0" w:firstLine="0" w:firstLineChars="0"/>
              <w:jc w:val="center"/>
              <w:rPr>
                <w:rFonts w:hint="eastAsia" w:eastAsia="宋体"/>
                <w:vertAlign w:val="baseline"/>
                <w:lang w:val="en-US" w:eastAsia="zh-CN"/>
              </w:rPr>
            </w:pPr>
            <w:r>
              <w:rPr>
                <w:rFonts w:hint="eastAsia"/>
                <w:vertAlign w:val="baseline"/>
                <w:lang w:val="en-US" w:eastAsia="zh-CN"/>
              </w:rPr>
              <w:t>5</w:t>
            </w:r>
          </w:p>
        </w:tc>
        <w:tc>
          <w:tcPr>
            <w:tcW w:w="1041" w:type="dxa"/>
            <w:vAlign w:val="top"/>
          </w:tcPr>
          <w:p w14:paraId="3C0B611F">
            <w:pPr>
              <w:pStyle w:val="43"/>
              <w:spacing w:line="360" w:lineRule="exact"/>
              <w:jc w:val="left"/>
              <w:rPr>
                <w:rFonts w:hint="default" w:eastAsia="宋体"/>
                <w:vertAlign w:val="baseline"/>
                <w:lang w:val="en-US" w:eastAsia="zh-Hans"/>
              </w:rPr>
            </w:pPr>
          </w:p>
        </w:tc>
        <w:tc>
          <w:tcPr>
            <w:tcW w:w="1747" w:type="dxa"/>
            <w:vAlign w:val="top"/>
          </w:tcPr>
          <w:p w14:paraId="1E8A69BE">
            <w:pPr>
              <w:pStyle w:val="43"/>
              <w:spacing w:line="360" w:lineRule="exact"/>
              <w:jc w:val="left"/>
              <w:rPr>
                <w:rFonts w:hint="default" w:eastAsia="宋体"/>
                <w:vertAlign w:val="baseline"/>
                <w:lang w:val="en-US" w:eastAsia="zh-Hans"/>
              </w:rPr>
            </w:pPr>
          </w:p>
        </w:tc>
        <w:tc>
          <w:tcPr>
            <w:tcW w:w="1022" w:type="dxa"/>
            <w:vAlign w:val="top"/>
          </w:tcPr>
          <w:p w14:paraId="3005CC4E">
            <w:pPr>
              <w:pStyle w:val="43"/>
              <w:spacing w:line="360" w:lineRule="exact"/>
              <w:jc w:val="left"/>
              <w:rPr>
                <w:rFonts w:hint="default" w:eastAsia="宋体"/>
                <w:vertAlign w:val="baseline"/>
                <w:lang w:val="en-US" w:eastAsia="zh-Hans"/>
              </w:rPr>
            </w:pPr>
          </w:p>
        </w:tc>
      </w:tr>
      <w:tr w14:paraId="01FAB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48" w:type="dxa"/>
            <w:vAlign w:val="top"/>
          </w:tcPr>
          <w:p w14:paraId="6B7FC992">
            <w:pPr>
              <w:pStyle w:val="43"/>
              <w:spacing w:line="360" w:lineRule="exact"/>
              <w:ind w:left="0" w:leftChars="0" w:firstLine="0" w:firstLineChars="0"/>
              <w:jc w:val="both"/>
              <w:rPr>
                <w:rFonts w:hint="eastAsia" w:eastAsia="宋体"/>
                <w:vertAlign w:val="baseline"/>
                <w:lang w:val="en-US" w:eastAsia="zh-CN"/>
              </w:rPr>
            </w:pPr>
            <w:r>
              <w:rPr>
                <w:rFonts w:hint="eastAsia"/>
                <w:vertAlign w:val="baseline"/>
                <w:lang w:val="en-US" w:eastAsia="zh-CN"/>
              </w:rPr>
              <w:t>3</w:t>
            </w:r>
          </w:p>
        </w:tc>
        <w:tc>
          <w:tcPr>
            <w:tcW w:w="3371" w:type="dxa"/>
            <w:vAlign w:val="top"/>
          </w:tcPr>
          <w:p w14:paraId="5136266D">
            <w:pPr>
              <w:pStyle w:val="43"/>
              <w:spacing w:line="360" w:lineRule="exact"/>
              <w:ind w:left="0" w:leftChars="0" w:firstLine="0" w:firstLineChars="0"/>
              <w:jc w:val="left"/>
              <w:rPr>
                <w:rFonts w:hint="default" w:eastAsia="宋体"/>
                <w:vertAlign w:val="baseline"/>
                <w:lang w:val="en-US" w:eastAsia="zh-Hans"/>
              </w:rPr>
            </w:pPr>
            <w:r>
              <w:rPr>
                <w:rFonts w:hint="default" w:eastAsia="宋体"/>
                <w:vertAlign w:val="baseline"/>
                <w:lang w:val="en-US" w:eastAsia="zh-Hans"/>
              </w:rPr>
              <w:t>日常建立材料、机械、人工量价成本控制指标台帐，内容齐全，分部或形象进度分段与考核分期一致，井根据现场签证、变更、洽商和索赔情况及时调整更新，能够做为施工组织经济指标的控制与核算依据。</w:t>
            </w:r>
          </w:p>
        </w:tc>
        <w:tc>
          <w:tcPr>
            <w:tcW w:w="1059" w:type="dxa"/>
            <w:vAlign w:val="top"/>
          </w:tcPr>
          <w:p w14:paraId="7D503B2E">
            <w:pPr>
              <w:pStyle w:val="43"/>
              <w:spacing w:line="360" w:lineRule="exact"/>
              <w:ind w:left="0" w:leftChars="0" w:firstLine="0" w:firstLineChars="0"/>
              <w:jc w:val="center"/>
              <w:rPr>
                <w:rFonts w:hint="eastAsia" w:eastAsia="宋体"/>
                <w:vertAlign w:val="baseline"/>
                <w:lang w:val="en-US" w:eastAsia="zh-CN"/>
              </w:rPr>
            </w:pPr>
            <w:r>
              <w:rPr>
                <w:rFonts w:hint="eastAsia"/>
                <w:vertAlign w:val="baseline"/>
                <w:lang w:val="en-US" w:eastAsia="zh-CN"/>
              </w:rPr>
              <w:t>5</w:t>
            </w:r>
          </w:p>
        </w:tc>
        <w:tc>
          <w:tcPr>
            <w:tcW w:w="1041" w:type="dxa"/>
            <w:vAlign w:val="top"/>
          </w:tcPr>
          <w:p w14:paraId="0BB16E45">
            <w:pPr>
              <w:pStyle w:val="43"/>
              <w:spacing w:line="360" w:lineRule="exact"/>
              <w:jc w:val="left"/>
              <w:rPr>
                <w:rFonts w:hint="default" w:eastAsia="宋体"/>
                <w:vertAlign w:val="baseline"/>
                <w:lang w:val="en-US" w:eastAsia="zh-Hans"/>
              </w:rPr>
            </w:pPr>
          </w:p>
        </w:tc>
        <w:tc>
          <w:tcPr>
            <w:tcW w:w="1747" w:type="dxa"/>
            <w:vAlign w:val="top"/>
          </w:tcPr>
          <w:p w14:paraId="716ED6E5">
            <w:pPr>
              <w:pStyle w:val="43"/>
              <w:spacing w:line="360" w:lineRule="exact"/>
              <w:jc w:val="left"/>
              <w:rPr>
                <w:rFonts w:hint="default" w:eastAsia="宋体"/>
                <w:vertAlign w:val="baseline"/>
                <w:lang w:val="en-US" w:eastAsia="zh-Hans"/>
              </w:rPr>
            </w:pPr>
          </w:p>
        </w:tc>
        <w:tc>
          <w:tcPr>
            <w:tcW w:w="1022" w:type="dxa"/>
            <w:vAlign w:val="top"/>
          </w:tcPr>
          <w:p w14:paraId="34412112">
            <w:pPr>
              <w:pStyle w:val="43"/>
              <w:spacing w:line="360" w:lineRule="exact"/>
              <w:jc w:val="left"/>
              <w:rPr>
                <w:rFonts w:hint="default" w:eastAsia="宋体"/>
                <w:vertAlign w:val="baseline"/>
                <w:lang w:val="en-US" w:eastAsia="zh-Hans"/>
              </w:rPr>
            </w:pPr>
          </w:p>
        </w:tc>
      </w:tr>
      <w:tr w14:paraId="016BE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48" w:type="dxa"/>
            <w:vAlign w:val="top"/>
          </w:tcPr>
          <w:p w14:paraId="435685F7">
            <w:pPr>
              <w:pStyle w:val="43"/>
              <w:spacing w:line="360" w:lineRule="exact"/>
              <w:ind w:left="0" w:leftChars="0" w:firstLine="0" w:firstLineChars="0"/>
              <w:jc w:val="both"/>
              <w:rPr>
                <w:rFonts w:hint="eastAsia" w:eastAsia="宋体"/>
                <w:b/>
                <w:bCs/>
                <w:vertAlign w:val="baseline"/>
                <w:lang w:val="en-US" w:eastAsia="zh-CN"/>
              </w:rPr>
            </w:pPr>
            <w:r>
              <w:rPr>
                <w:rFonts w:hint="eastAsia"/>
                <w:b/>
                <w:bCs/>
                <w:vertAlign w:val="baseline"/>
                <w:lang w:val="en-US" w:eastAsia="zh-CN"/>
              </w:rPr>
              <w:t>C</w:t>
            </w:r>
          </w:p>
        </w:tc>
        <w:tc>
          <w:tcPr>
            <w:tcW w:w="3371" w:type="dxa"/>
            <w:vAlign w:val="top"/>
          </w:tcPr>
          <w:p w14:paraId="48B3A333">
            <w:pPr>
              <w:pStyle w:val="43"/>
              <w:spacing w:line="360" w:lineRule="exact"/>
              <w:ind w:left="0" w:leftChars="0" w:firstLine="0" w:firstLineChars="0"/>
              <w:jc w:val="left"/>
              <w:rPr>
                <w:rFonts w:hint="default" w:eastAsia="宋体"/>
                <w:b/>
                <w:bCs/>
                <w:vertAlign w:val="baseline"/>
                <w:lang w:val="en-US" w:eastAsia="zh-Hans"/>
              </w:rPr>
            </w:pPr>
            <w:r>
              <w:rPr>
                <w:rFonts w:hint="default" w:eastAsia="宋体"/>
                <w:b/>
                <w:bCs/>
                <w:vertAlign w:val="baseline"/>
                <w:lang w:val="en-US" w:eastAsia="zh-Hans"/>
              </w:rPr>
              <w:t>签证分析</w:t>
            </w:r>
          </w:p>
        </w:tc>
        <w:tc>
          <w:tcPr>
            <w:tcW w:w="1059" w:type="dxa"/>
            <w:vAlign w:val="top"/>
          </w:tcPr>
          <w:p w14:paraId="6B645259">
            <w:pPr>
              <w:pStyle w:val="43"/>
              <w:spacing w:line="360" w:lineRule="exact"/>
              <w:ind w:left="0" w:leftChars="0" w:firstLine="0" w:firstLineChars="0"/>
              <w:jc w:val="center"/>
              <w:rPr>
                <w:rFonts w:hint="default" w:eastAsia="宋体"/>
                <w:vertAlign w:val="baseline"/>
                <w:lang w:val="en-US" w:eastAsia="zh-CN"/>
              </w:rPr>
            </w:pPr>
            <w:r>
              <w:rPr>
                <w:rFonts w:hint="eastAsia"/>
                <w:b/>
                <w:bCs/>
                <w:vertAlign w:val="baseline"/>
                <w:lang w:val="en-US" w:eastAsia="zh-CN"/>
              </w:rPr>
              <w:t>10</w:t>
            </w:r>
          </w:p>
        </w:tc>
        <w:tc>
          <w:tcPr>
            <w:tcW w:w="1041" w:type="dxa"/>
            <w:vAlign w:val="top"/>
          </w:tcPr>
          <w:p w14:paraId="6F6EBC98">
            <w:pPr>
              <w:pStyle w:val="43"/>
              <w:spacing w:line="360" w:lineRule="exact"/>
              <w:jc w:val="left"/>
              <w:rPr>
                <w:rFonts w:hint="default" w:eastAsia="宋体"/>
                <w:vertAlign w:val="baseline"/>
                <w:lang w:val="en-US" w:eastAsia="zh-Hans"/>
              </w:rPr>
            </w:pPr>
          </w:p>
        </w:tc>
        <w:tc>
          <w:tcPr>
            <w:tcW w:w="1747" w:type="dxa"/>
            <w:vAlign w:val="top"/>
          </w:tcPr>
          <w:p w14:paraId="05EB5580">
            <w:pPr>
              <w:pStyle w:val="43"/>
              <w:spacing w:line="360" w:lineRule="exact"/>
              <w:jc w:val="left"/>
              <w:rPr>
                <w:rFonts w:hint="default" w:eastAsia="宋体"/>
                <w:vertAlign w:val="baseline"/>
                <w:lang w:val="en-US" w:eastAsia="zh-Hans"/>
              </w:rPr>
            </w:pPr>
          </w:p>
        </w:tc>
        <w:tc>
          <w:tcPr>
            <w:tcW w:w="1022" w:type="dxa"/>
            <w:vAlign w:val="top"/>
          </w:tcPr>
          <w:p w14:paraId="4E9A4434">
            <w:pPr>
              <w:pStyle w:val="43"/>
              <w:spacing w:line="360" w:lineRule="exact"/>
              <w:jc w:val="left"/>
              <w:rPr>
                <w:rFonts w:hint="default" w:eastAsia="宋体"/>
                <w:vertAlign w:val="baseline"/>
                <w:lang w:val="en-US" w:eastAsia="zh-Hans"/>
              </w:rPr>
            </w:pPr>
          </w:p>
        </w:tc>
      </w:tr>
      <w:tr w14:paraId="32743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48" w:type="dxa"/>
            <w:vAlign w:val="top"/>
          </w:tcPr>
          <w:p w14:paraId="476B6ADA">
            <w:pPr>
              <w:pStyle w:val="43"/>
              <w:spacing w:line="360" w:lineRule="exact"/>
              <w:ind w:left="0" w:leftChars="0" w:firstLine="0" w:firstLineChars="0"/>
              <w:jc w:val="both"/>
              <w:rPr>
                <w:rFonts w:hint="default"/>
                <w:vertAlign w:val="baseline"/>
                <w:lang w:val="en-US" w:eastAsia="zh-CN"/>
              </w:rPr>
            </w:pPr>
            <w:r>
              <w:rPr>
                <w:rFonts w:hint="eastAsia"/>
                <w:vertAlign w:val="baseline"/>
                <w:lang w:val="en-US" w:eastAsia="zh-CN"/>
              </w:rPr>
              <w:t>1</w:t>
            </w:r>
          </w:p>
        </w:tc>
        <w:tc>
          <w:tcPr>
            <w:tcW w:w="3371" w:type="dxa"/>
            <w:vAlign w:val="top"/>
          </w:tcPr>
          <w:p w14:paraId="277F1937">
            <w:pPr>
              <w:pStyle w:val="43"/>
              <w:spacing w:line="360" w:lineRule="exact"/>
              <w:ind w:left="0" w:leftChars="0" w:firstLine="0" w:firstLineChars="0"/>
              <w:jc w:val="left"/>
              <w:rPr>
                <w:rFonts w:hint="default" w:eastAsia="宋体"/>
                <w:vertAlign w:val="baseline"/>
                <w:lang w:val="en-US" w:eastAsia="zh-Hans"/>
              </w:rPr>
            </w:pPr>
            <w:r>
              <w:rPr>
                <w:rFonts w:hint="default" w:eastAsia="宋体"/>
                <w:vertAlign w:val="baseline"/>
                <w:lang w:val="en-US" w:eastAsia="zh-Hans"/>
              </w:rPr>
              <w:t>协助项目部做好签证、变更，治商及索赔方案工程造价的计算与分析，保证效益目标的实现。</w:t>
            </w:r>
          </w:p>
        </w:tc>
        <w:tc>
          <w:tcPr>
            <w:tcW w:w="1059" w:type="dxa"/>
            <w:vAlign w:val="top"/>
          </w:tcPr>
          <w:p w14:paraId="1BED980F">
            <w:pPr>
              <w:pStyle w:val="43"/>
              <w:spacing w:line="360" w:lineRule="exact"/>
              <w:ind w:left="0" w:leftChars="0" w:firstLine="0" w:firstLineChars="0"/>
              <w:jc w:val="center"/>
              <w:rPr>
                <w:rFonts w:hint="default" w:eastAsia="宋体"/>
                <w:vertAlign w:val="baseline"/>
                <w:lang w:val="en-US" w:eastAsia="zh-CN"/>
              </w:rPr>
            </w:pPr>
            <w:r>
              <w:rPr>
                <w:rFonts w:hint="eastAsia"/>
                <w:vertAlign w:val="baseline"/>
                <w:lang w:val="en-US" w:eastAsia="zh-CN"/>
              </w:rPr>
              <w:t>10</w:t>
            </w:r>
          </w:p>
        </w:tc>
        <w:tc>
          <w:tcPr>
            <w:tcW w:w="1041" w:type="dxa"/>
            <w:vAlign w:val="top"/>
          </w:tcPr>
          <w:p w14:paraId="4A944D7E">
            <w:pPr>
              <w:pStyle w:val="43"/>
              <w:spacing w:line="360" w:lineRule="exact"/>
              <w:jc w:val="left"/>
              <w:rPr>
                <w:rFonts w:hint="default" w:eastAsia="宋体"/>
                <w:vertAlign w:val="baseline"/>
                <w:lang w:val="en-US" w:eastAsia="zh-Hans"/>
              </w:rPr>
            </w:pPr>
          </w:p>
        </w:tc>
        <w:tc>
          <w:tcPr>
            <w:tcW w:w="1747" w:type="dxa"/>
            <w:vAlign w:val="top"/>
          </w:tcPr>
          <w:p w14:paraId="10A652FC">
            <w:pPr>
              <w:pStyle w:val="43"/>
              <w:spacing w:line="360" w:lineRule="exact"/>
              <w:jc w:val="left"/>
              <w:rPr>
                <w:rFonts w:hint="default" w:eastAsia="宋体"/>
                <w:vertAlign w:val="baseline"/>
                <w:lang w:val="en-US" w:eastAsia="zh-Hans"/>
              </w:rPr>
            </w:pPr>
          </w:p>
        </w:tc>
        <w:tc>
          <w:tcPr>
            <w:tcW w:w="1022" w:type="dxa"/>
            <w:vAlign w:val="top"/>
          </w:tcPr>
          <w:p w14:paraId="58074490">
            <w:pPr>
              <w:pStyle w:val="43"/>
              <w:spacing w:line="360" w:lineRule="exact"/>
              <w:jc w:val="left"/>
              <w:rPr>
                <w:rFonts w:hint="default" w:eastAsia="宋体"/>
                <w:vertAlign w:val="baseline"/>
                <w:lang w:val="en-US" w:eastAsia="zh-Hans"/>
              </w:rPr>
            </w:pPr>
          </w:p>
        </w:tc>
      </w:tr>
      <w:tr w14:paraId="6D7CF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48" w:type="dxa"/>
            <w:vAlign w:val="top"/>
          </w:tcPr>
          <w:p w14:paraId="2B937213">
            <w:pPr>
              <w:pStyle w:val="43"/>
              <w:spacing w:line="360" w:lineRule="exact"/>
              <w:ind w:left="0" w:leftChars="0" w:firstLine="0" w:firstLineChars="0"/>
              <w:jc w:val="both"/>
              <w:rPr>
                <w:rFonts w:hint="default"/>
                <w:b/>
                <w:bCs/>
                <w:vertAlign w:val="baseline"/>
                <w:lang w:val="en-US" w:eastAsia="zh-CN"/>
              </w:rPr>
            </w:pPr>
            <w:r>
              <w:rPr>
                <w:rFonts w:hint="eastAsia"/>
                <w:b/>
                <w:bCs/>
                <w:vertAlign w:val="baseline"/>
                <w:lang w:val="en-US" w:eastAsia="zh-CN"/>
              </w:rPr>
              <w:t>D</w:t>
            </w:r>
          </w:p>
        </w:tc>
        <w:tc>
          <w:tcPr>
            <w:tcW w:w="3371" w:type="dxa"/>
            <w:vAlign w:val="top"/>
          </w:tcPr>
          <w:p w14:paraId="25D10994">
            <w:pPr>
              <w:pStyle w:val="43"/>
              <w:spacing w:line="360" w:lineRule="exact"/>
              <w:ind w:left="0" w:leftChars="0" w:firstLine="0" w:firstLineChars="0"/>
              <w:jc w:val="left"/>
              <w:rPr>
                <w:rFonts w:hint="default" w:eastAsia="宋体"/>
                <w:b/>
                <w:bCs/>
                <w:vertAlign w:val="baseline"/>
                <w:lang w:val="en-US" w:eastAsia="zh-Hans"/>
              </w:rPr>
            </w:pPr>
            <w:r>
              <w:rPr>
                <w:rFonts w:hint="default" w:eastAsia="宋体"/>
                <w:b/>
                <w:bCs/>
                <w:vertAlign w:val="baseline"/>
                <w:lang w:val="en-US" w:eastAsia="zh-Hans"/>
              </w:rPr>
              <w:t>计划审核</w:t>
            </w:r>
          </w:p>
        </w:tc>
        <w:tc>
          <w:tcPr>
            <w:tcW w:w="1059" w:type="dxa"/>
            <w:vAlign w:val="top"/>
          </w:tcPr>
          <w:p w14:paraId="52D1A012">
            <w:pPr>
              <w:pStyle w:val="43"/>
              <w:spacing w:line="360" w:lineRule="exact"/>
              <w:ind w:left="0" w:leftChars="0" w:firstLine="0" w:firstLineChars="0"/>
              <w:jc w:val="center"/>
              <w:rPr>
                <w:rFonts w:hint="eastAsia" w:eastAsia="宋体"/>
                <w:vertAlign w:val="baseline"/>
                <w:lang w:val="en-US" w:eastAsia="zh-CN"/>
              </w:rPr>
            </w:pPr>
            <w:r>
              <w:rPr>
                <w:rFonts w:hint="eastAsia"/>
                <w:b/>
                <w:bCs/>
                <w:vertAlign w:val="baseline"/>
                <w:lang w:val="en-US" w:eastAsia="zh-CN"/>
              </w:rPr>
              <w:t>15</w:t>
            </w:r>
          </w:p>
        </w:tc>
        <w:tc>
          <w:tcPr>
            <w:tcW w:w="1041" w:type="dxa"/>
            <w:vAlign w:val="top"/>
          </w:tcPr>
          <w:p w14:paraId="5A6F0A75">
            <w:pPr>
              <w:pStyle w:val="43"/>
              <w:spacing w:line="360" w:lineRule="exact"/>
              <w:jc w:val="left"/>
              <w:rPr>
                <w:rFonts w:hint="default" w:eastAsia="宋体"/>
                <w:vertAlign w:val="baseline"/>
                <w:lang w:val="en-US" w:eastAsia="zh-Hans"/>
              </w:rPr>
            </w:pPr>
          </w:p>
        </w:tc>
        <w:tc>
          <w:tcPr>
            <w:tcW w:w="1747" w:type="dxa"/>
            <w:vAlign w:val="top"/>
          </w:tcPr>
          <w:p w14:paraId="37874670">
            <w:pPr>
              <w:pStyle w:val="43"/>
              <w:spacing w:line="360" w:lineRule="exact"/>
              <w:jc w:val="left"/>
              <w:rPr>
                <w:rFonts w:hint="default" w:eastAsia="宋体"/>
                <w:vertAlign w:val="baseline"/>
                <w:lang w:val="en-US" w:eastAsia="zh-Hans"/>
              </w:rPr>
            </w:pPr>
          </w:p>
        </w:tc>
        <w:tc>
          <w:tcPr>
            <w:tcW w:w="1022" w:type="dxa"/>
            <w:vAlign w:val="top"/>
          </w:tcPr>
          <w:p w14:paraId="48087505">
            <w:pPr>
              <w:pStyle w:val="43"/>
              <w:spacing w:line="360" w:lineRule="exact"/>
              <w:jc w:val="left"/>
              <w:rPr>
                <w:rFonts w:hint="default" w:eastAsia="宋体"/>
                <w:vertAlign w:val="baseline"/>
                <w:lang w:val="en-US" w:eastAsia="zh-Hans"/>
              </w:rPr>
            </w:pPr>
          </w:p>
        </w:tc>
      </w:tr>
      <w:tr w14:paraId="60DDD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48" w:type="dxa"/>
            <w:vAlign w:val="top"/>
          </w:tcPr>
          <w:p w14:paraId="04ED7E41">
            <w:pPr>
              <w:pStyle w:val="43"/>
              <w:spacing w:line="360" w:lineRule="exact"/>
              <w:ind w:left="0" w:leftChars="0" w:firstLine="0" w:firstLineChars="0"/>
              <w:jc w:val="both"/>
              <w:rPr>
                <w:rFonts w:hint="default"/>
                <w:vertAlign w:val="baseline"/>
                <w:lang w:val="en-US" w:eastAsia="zh-CN"/>
              </w:rPr>
            </w:pPr>
            <w:r>
              <w:rPr>
                <w:rFonts w:hint="eastAsia"/>
                <w:vertAlign w:val="baseline"/>
                <w:lang w:val="en-US" w:eastAsia="zh-CN"/>
              </w:rPr>
              <w:t>1</w:t>
            </w:r>
          </w:p>
        </w:tc>
        <w:tc>
          <w:tcPr>
            <w:tcW w:w="3371" w:type="dxa"/>
            <w:vAlign w:val="top"/>
          </w:tcPr>
          <w:p w14:paraId="3922F9FA">
            <w:pPr>
              <w:pStyle w:val="43"/>
              <w:spacing w:line="360" w:lineRule="exact"/>
              <w:ind w:left="0" w:leftChars="0" w:firstLine="0" w:firstLineChars="0"/>
              <w:jc w:val="left"/>
              <w:rPr>
                <w:rFonts w:hint="default" w:eastAsia="宋体"/>
                <w:vertAlign w:val="baseline"/>
                <w:lang w:val="en-US" w:eastAsia="zh-Hans"/>
              </w:rPr>
            </w:pPr>
            <w:r>
              <w:rPr>
                <w:rFonts w:hint="default" w:eastAsia="宋体"/>
                <w:vertAlign w:val="baseline"/>
                <w:lang w:val="en-US" w:eastAsia="zh-Hans"/>
              </w:rPr>
              <w:t>能按时办理项目部进度施工材料、</w:t>
            </w:r>
            <w:r>
              <w:rPr>
                <w:rFonts w:hint="eastAsia"/>
                <w:vertAlign w:val="baseline"/>
                <w:lang w:val="en-US" w:eastAsia="zh-CN"/>
              </w:rPr>
              <w:t>用工</w:t>
            </w:r>
            <w:r>
              <w:rPr>
                <w:rFonts w:hint="default" w:eastAsia="宋体"/>
                <w:vertAlign w:val="baseline"/>
                <w:lang w:val="en-US" w:eastAsia="zh-Hans"/>
              </w:rPr>
              <w:t>量审核，做到依据明确，数据准确，控制有力，方便快捷。</w:t>
            </w:r>
          </w:p>
        </w:tc>
        <w:tc>
          <w:tcPr>
            <w:tcW w:w="1059" w:type="dxa"/>
            <w:vAlign w:val="top"/>
          </w:tcPr>
          <w:p w14:paraId="33A9005A">
            <w:pPr>
              <w:pStyle w:val="43"/>
              <w:spacing w:line="360" w:lineRule="exact"/>
              <w:ind w:left="0" w:leftChars="0" w:firstLine="0" w:firstLineChars="0"/>
              <w:jc w:val="center"/>
              <w:rPr>
                <w:rFonts w:hint="default" w:eastAsia="宋体"/>
                <w:vertAlign w:val="baseline"/>
                <w:lang w:val="en-US" w:eastAsia="zh-CN"/>
              </w:rPr>
            </w:pPr>
            <w:r>
              <w:rPr>
                <w:rFonts w:hint="eastAsia"/>
                <w:vertAlign w:val="baseline"/>
                <w:lang w:val="en-US" w:eastAsia="zh-CN"/>
              </w:rPr>
              <w:t>15</w:t>
            </w:r>
          </w:p>
        </w:tc>
        <w:tc>
          <w:tcPr>
            <w:tcW w:w="1041" w:type="dxa"/>
            <w:vAlign w:val="top"/>
          </w:tcPr>
          <w:p w14:paraId="6ADCBA37">
            <w:pPr>
              <w:pStyle w:val="43"/>
              <w:spacing w:line="360" w:lineRule="exact"/>
              <w:jc w:val="left"/>
              <w:rPr>
                <w:rFonts w:hint="default" w:eastAsia="宋体"/>
                <w:vertAlign w:val="baseline"/>
                <w:lang w:val="en-US" w:eastAsia="zh-Hans"/>
              </w:rPr>
            </w:pPr>
          </w:p>
        </w:tc>
        <w:tc>
          <w:tcPr>
            <w:tcW w:w="1747" w:type="dxa"/>
            <w:vAlign w:val="top"/>
          </w:tcPr>
          <w:p w14:paraId="59F3568C">
            <w:pPr>
              <w:pStyle w:val="43"/>
              <w:spacing w:line="360" w:lineRule="exact"/>
              <w:jc w:val="left"/>
              <w:rPr>
                <w:rFonts w:hint="default" w:eastAsia="宋体"/>
                <w:vertAlign w:val="baseline"/>
                <w:lang w:val="en-US" w:eastAsia="zh-Hans"/>
              </w:rPr>
            </w:pPr>
          </w:p>
        </w:tc>
        <w:tc>
          <w:tcPr>
            <w:tcW w:w="1022" w:type="dxa"/>
            <w:vAlign w:val="top"/>
          </w:tcPr>
          <w:p w14:paraId="1CB18968">
            <w:pPr>
              <w:pStyle w:val="43"/>
              <w:spacing w:line="360" w:lineRule="exact"/>
              <w:jc w:val="left"/>
              <w:rPr>
                <w:rFonts w:hint="default" w:eastAsia="宋体"/>
                <w:vertAlign w:val="baseline"/>
                <w:lang w:val="en-US" w:eastAsia="zh-Hans"/>
              </w:rPr>
            </w:pPr>
          </w:p>
        </w:tc>
      </w:tr>
      <w:tr w14:paraId="4E95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48" w:type="dxa"/>
            <w:vAlign w:val="top"/>
          </w:tcPr>
          <w:p w14:paraId="4C94DA98">
            <w:pPr>
              <w:pStyle w:val="43"/>
              <w:spacing w:line="360" w:lineRule="exact"/>
              <w:ind w:left="0" w:leftChars="0" w:firstLine="0" w:firstLineChars="0"/>
              <w:jc w:val="both"/>
              <w:rPr>
                <w:rFonts w:hint="default"/>
                <w:b/>
                <w:bCs/>
                <w:vertAlign w:val="baseline"/>
                <w:lang w:val="en-US" w:eastAsia="zh-CN"/>
              </w:rPr>
            </w:pPr>
            <w:r>
              <w:rPr>
                <w:rFonts w:hint="eastAsia"/>
                <w:b/>
                <w:bCs/>
                <w:vertAlign w:val="baseline"/>
                <w:lang w:val="en-US" w:eastAsia="zh-CN"/>
              </w:rPr>
              <w:t>E</w:t>
            </w:r>
          </w:p>
        </w:tc>
        <w:tc>
          <w:tcPr>
            <w:tcW w:w="3371" w:type="dxa"/>
            <w:vAlign w:val="top"/>
          </w:tcPr>
          <w:p w14:paraId="77D67BC5">
            <w:pPr>
              <w:pStyle w:val="43"/>
              <w:spacing w:line="360" w:lineRule="exact"/>
              <w:ind w:left="0" w:leftChars="0" w:firstLine="0" w:firstLineChars="0"/>
              <w:jc w:val="left"/>
              <w:rPr>
                <w:rFonts w:hint="default" w:eastAsia="宋体"/>
                <w:b/>
                <w:bCs/>
                <w:vertAlign w:val="baseline"/>
                <w:lang w:val="en-US" w:eastAsia="zh-Hans"/>
              </w:rPr>
            </w:pPr>
            <w:r>
              <w:rPr>
                <w:rFonts w:hint="default" w:eastAsia="宋体"/>
                <w:b/>
                <w:bCs/>
                <w:vertAlign w:val="baseline"/>
                <w:lang w:val="en-US" w:eastAsia="zh-Hans"/>
              </w:rPr>
              <w:t>竣工结算</w:t>
            </w:r>
          </w:p>
        </w:tc>
        <w:tc>
          <w:tcPr>
            <w:tcW w:w="1059" w:type="dxa"/>
            <w:vAlign w:val="top"/>
          </w:tcPr>
          <w:p w14:paraId="454CE399">
            <w:pPr>
              <w:pStyle w:val="43"/>
              <w:spacing w:line="360" w:lineRule="exact"/>
              <w:ind w:left="0" w:leftChars="0" w:firstLine="0" w:firstLineChars="0"/>
              <w:jc w:val="center"/>
              <w:rPr>
                <w:rFonts w:hint="default" w:eastAsia="宋体"/>
                <w:vertAlign w:val="baseline"/>
                <w:lang w:val="en-US" w:eastAsia="zh-CN"/>
              </w:rPr>
            </w:pPr>
            <w:r>
              <w:rPr>
                <w:rFonts w:hint="eastAsia"/>
                <w:b/>
                <w:bCs/>
                <w:vertAlign w:val="baseline"/>
                <w:lang w:val="en-US" w:eastAsia="zh-CN"/>
              </w:rPr>
              <w:t>10</w:t>
            </w:r>
          </w:p>
        </w:tc>
        <w:tc>
          <w:tcPr>
            <w:tcW w:w="1041" w:type="dxa"/>
            <w:vAlign w:val="top"/>
          </w:tcPr>
          <w:p w14:paraId="5142191A">
            <w:pPr>
              <w:pStyle w:val="43"/>
              <w:spacing w:line="360" w:lineRule="exact"/>
              <w:jc w:val="left"/>
              <w:rPr>
                <w:rFonts w:hint="default" w:eastAsia="宋体"/>
                <w:vertAlign w:val="baseline"/>
                <w:lang w:val="en-US" w:eastAsia="zh-Hans"/>
              </w:rPr>
            </w:pPr>
          </w:p>
        </w:tc>
        <w:tc>
          <w:tcPr>
            <w:tcW w:w="1747" w:type="dxa"/>
            <w:vAlign w:val="top"/>
          </w:tcPr>
          <w:p w14:paraId="10CE0BEF">
            <w:pPr>
              <w:pStyle w:val="43"/>
              <w:spacing w:line="360" w:lineRule="exact"/>
              <w:jc w:val="left"/>
              <w:rPr>
                <w:rFonts w:hint="default" w:eastAsia="宋体"/>
                <w:vertAlign w:val="baseline"/>
                <w:lang w:val="en-US" w:eastAsia="zh-Hans"/>
              </w:rPr>
            </w:pPr>
          </w:p>
        </w:tc>
        <w:tc>
          <w:tcPr>
            <w:tcW w:w="1022" w:type="dxa"/>
            <w:vAlign w:val="top"/>
          </w:tcPr>
          <w:p w14:paraId="06A11720">
            <w:pPr>
              <w:pStyle w:val="43"/>
              <w:spacing w:line="360" w:lineRule="exact"/>
              <w:jc w:val="left"/>
              <w:rPr>
                <w:rFonts w:hint="default" w:eastAsia="宋体"/>
                <w:vertAlign w:val="baseline"/>
                <w:lang w:val="en-US" w:eastAsia="zh-Hans"/>
              </w:rPr>
            </w:pPr>
          </w:p>
        </w:tc>
      </w:tr>
      <w:tr w14:paraId="20D31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48" w:type="dxa"/>
            <w:vAlign w:val="top"/>
          </w:tcPr>
          <w:p w14:paraId="12206F80">
            <w:pPr>
              <w:pStyle w:val="43"/>
              <w:spacing w:line="360" w:lineRule="exact"/>
              <w:ind w:left="0" w:leftChars="0" w:firstLine="0" w:firstLineChars="0"/>
              <w:jc w:val="both"/>
              <w:rPr>
                <w:rFonts w:hint="default"/>
                <w:vertAlign w:val="baseline"/>
                <w:lang w:val="en-US" w:eastAsia="zh-CN"/>
              </w:rPr>
            </w:pPr>
            <w:r>
              <w:rPr>
                <w:rFonts w:hint="eastAsia"/>
                <w:vertAlign w:val="baseline"/>
                <w:lang w:val="en-US" w:eastAsia="zh-CN"/>
              </w:rPr>
              <w:t>1</w:t>
            </w:r>
          </w:p>
        </w:tc>
        <w:tc>
          <w:tcPr>
            <w:tcW w:w="3371" w:type="dxa"/>
            <w:vAlign w:val="top"/>
          </w:tcPr>
          <w:p w14:paraId="5721FBC6">
            <w:pPr>
              <w:pStyle w:val="43"/>
              <w:spacing w:line="360" w:lineRule="exact"/>
              <w:ind w:left="0" w:leftChars="0" w:firstLine="0" w:firstLineChars="0"/>
              <w:jc w:val="left"/>
              <w:rPr>
                <w:rFonts w:hint="default" w:eastAsia="宋体"/>
                <w:vertAlign w:val="baseline"/>
                <w:lang w:val="en-US" w:eastAsia="zh-Hans"/>
              </w:rPr>
            </w:pPr>
            <w:r>
              <w:rPr>
                <w:rFonts w:hint="default" w:eastAsia="宋体"/>
                <w:vertAlign w:val="baseline"/>
                <w:lang w:val="en-US" w:eastAsia="zh-Hans"/>
              </w:rPr>
              <w:t>日常能够及时全面收集竣工决算资料，做到与</w:t>
            </w:r>
            <w:r>
              <w:rPr>
                <w:rFonts w:hint="eastAsia"/>
                <w:vertAlign w:val="baseline"/>
                <w:lang w:val="en-US" w:eastAsia="zh-CN"/>
              </w:rPr>
              <w:t>工程</w:t>
            </w:r>
            <w:r>
              <w:rPr>
                <w:rFonts w:hint="default" w:eastAsia="宋体"/>
                <w:vertAlign w:val="baseline"/>
                <w:lang w:val="en-US" w:eastAsia="zh-Hans"/>
              </w:rPr>
              <w:t>实际情况核对无误，并分类建档管理</w:t>
            </w:r>
          </w:p>
        </w:tc>
        <w:tc>
          <w:tcPr>
            <w:tcW w:w="1059" w:type="dxa"/>
            <w:vAlign w:val="top"/>
          </w:tcPr>
          <w:p w14:paraId="17E03C1C">
            <w:pPr>
              <w:pStyle w:val="43"/>
              <w:spacing w:line="360" w:lineRule="exact"/>
              <w:ind w:left="0" w:leftChars="0" w:firstLine="0" w:firstLineChars="0"/>
              <w:jc w:val="center"/>
              <w:rPr>
                <w:rFonts w:hint="eastAsia" w:eastAsia="宋体"/>
                <w:vertAlign w:val="baseline"/>
                <w:lang w:val="en-US" w:eastAsia="zh-CN"/>
              </w:rPr>
            </w:pPr>
            <w:r>
              <w:rPr>
                <w:rFonts w:hint="eastAsia"/>
                <w:vertAlign w:val="baseline"/>
                <w:lang w:val="en-US" w:eastAsia="zh-CN"/>
              </w:rPr>
              <w:t>5</w:t>
            </w:r>
          </w:p>
        </w:tc>
        <w:tc>
          <w:tcPr>
            <w:tcW w:w="1041" w:type="dxa"/>
            <w:vAlign w:val="top"/>
          </w:tcPr>
          <w:p w14:paraId="08961CC8">
            <w:pPr>
              <w:pStyle w:val="43"/>
              <w:spacing w:line="360" w:lineRule="exact"/>
              <w:jc w:val="left"/>
              <w:rPr>
                <w:rFonts w:hint="default" w:eastAsia="宋体"/>
                <w:vertAlign w:val="baseline"/>
                <w:lang w:val="en-US" w:eastAsia="zh-Hans"/>
              </w:rPr>
            </w:pPr>
          </w:p>
        </w:tc>
        <w:tc>
          <w:tcPr>
            <w:tcW w:w="1747" w:type="dxa"/>
            <w:vAlign w:val="top"/>
          </w:tcPr>
          <w:p w14:paraId="7022ED60">
            <w:pPr>
              <w:pStyle w:val="43"/>
              <w:spacing w:line="360" w:lineRule="exact"/>
              <w:jc w:val="left"/>
              <w:rPr>
                <w:rFonts w:hint="default" w:eastAsia="宋体"/>
                <w:vertAlign w:val="baseline"/>
                <w:lang w:val="en-US" w:eastAsia="zh-Hans"/>
              </w:rPr>
            </w:pPr>
          </w:p>
        </w:tc>
        <w:tc>
          <w:tcPr>
            <w:tcW w:w="1022" w:type="dxa"/>
            <w:vAlign w:val="top"/>
          </w:tcPr>
          <w:p w14:paraId="4E0EDDD6">
            <w:pPr>
              <w:pStyle w:val="43"/>
              <w:spacing w:line="360" w:lineRule="exact"/>
              <w:jc w:val="left"/>
              <w:rPr>
                <w:rFonts w:hint="default" w:eastAsia="宋体"/>
                <w:vertAlign w:val="baseline"/>
                <w:lang w:val="en-US" w:eastAsia="zh-Hans"/>
              </w:rPr>
            </w:pPr>
          </w:p>
        </w:tc>
      </w:tr>
      <w:tr w14:paraId="14A24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48" w:type="dxa"/>
            <w:vAlign w:val="top"/>
          </w:tcPr>
          <w:p w14:paraId="7A444A8D">
            <w:pPr>
              <w:pStyle w:val="43"/>
              <w:spacing w:line="360" w:lineRule="exact"/>
              <w:ind w:left="0" w:leftChars="0" w:firstLine="0" w:firstLineChars="0"/>
              <w:jc w:val="both"/>
              <w:rPr>
                <w:rFonts w:hint="default"/>
                <w:vertAlign w:val="baseline"/>
                <w:lang w:val="en-US" w:eastAsia="zh-CN"/>
              </w:rPr>
            </w:pPr>
            <w:r>
              <w:rPr>
                <w:rFonts w:hint="eastAsia"/>
                <w:vertAlign w:val="baseline"/>
                <w:lang w:val="en-US" w:eastAsia="zh-CN"/>
              </w:rPr>
              <w:t>2</w:t>
            </w:r>
          </w:p>
        </w:tc>
        <w:tc>
          <w:tcPr>
            <w:tcW w:w="3371" w:type="dxa"/>
            <w:vAlign w:val="top"/>
          </w:tcPr>
          <w:p w14:paraId="5DA99022">
            <w:pPr>
              <w:pStyle w:val="43"/>
              <w:spacing w:line="360" w:lineRule="exact"/>
              <w:ind w:left="0" w:leftChars="0" w:firstLine="0" w:firstLineChars="0"/>
              <w:jc w:val="left"/>
              <w:rPr>
                <w:rFonts w:hint="default" w:eastAsia="宋体"/>
                <w:vertAlign w:val="baseline"/>
                <w:lang w:val="en-US" w:eastAsia="zh-Hans"/>
              </w:rPr>
            </w:pPr>
            <w:r>
              <w:rPr>
                <w:rFonts w:hint="default" w:eastAsia="宋体"/>
                <w:vertAlign w:val="baseline"/>
                <w:lang w:val="en-US" w:eastAsia="zh-Hans"/>
              </w:rPr>
              <w:t>能在规定的时间内</w:t>
            </w:r>
            <w:r>
              <w:rPr>
                <w:rFonts w:hint="eastAsia"/>
                <w:vertAlign w:val="baseline"/>
                <w:lang w:val="en-US" w:eastAsia="zh-CN"/>
              </w:rPr>
              <w:t>协助</w:t>
            </w:r>
            <w:r>
              <w:rPr>
                <w:rFonts w:hint="default" w:eastAsia="宋体"/>
                <w:vertAlign w:val="baseline"/>
                <w:lang w:val="en-US" w:eastAsia="zh-Hans"/>
              </w:rPr>
              <w:t>完成与决算核对工作，沟通恰当，实现经营效益指标。</w:t>
            </w:r>
          </w:p>
        </w:tc>
        <w:tc>
          <w:tcPr>
            <w:tcW w:w="1059" w:type="dxa"/>
            <w:vAlign w:val="top"/>
          </w:tcPr>
          <w:p w14:paraId="00F91623">
            <w:pPr>
              <w:pStyle w:val="43"/>
              <w:spacing w:line="360" w:lineRule="exact"/>
              <w:ind w:left="0" w:leftChars="0" w:firstLine="0" w:firstLineChars="0"/>
              <w:jc w:val="center"/>
              <w:rPr>
                <w:rFonts w:hint="eastAsia" w:eastAsia="宋体"/>
                <w:vertAlign w:val="baseline"/>
                <w:lang w:val="en-US" w:eastAsia="zh-CN"/>
              </w:rPr>
            </w:pPr>
            <w:r>
              <w:rPr>
                <w:rFonts w:hint="eastAsia"/>
                <w:vertAlign w:val="baseline"/>
                <w:lang w:val="en-US" w:eastAsia="zh-CN"/>
              </w:rPr>
              <w:t>5</w:t>
            </w:r>
          </w:p>
        </w:tc>
        <w:tc>
          <w:tcPr>
            <w:tcW w:w="1041" w:type="dxa"/>
            <w:vAlign w:val="top"/>
          </w:tcPr>
          <w:p w14:paraId="3D5BE445">
            <w:pPr>
              <w:pStyle w:val="43"/>
              <w:spacing w:line="360" w:lineRule="exact"/>
              <w:jc w:val="left"/>
              <w:rPr>
                <w:rFonts w:hint="default" w:eastAsia="宋体"/>
                <w:vertAlign w:val="baseline"/>
                <w:lang w:val="en-US" w:eastAsia="zh-Hans"/>
              </w:rPr>
            </w:pPr>
          </w:p>
        </w:tc>
        <w:tc>
          <w:tcPr>
            <w:tcW w:w="1747" w:type="dxa"/>
            <w:vAlign w:val="top"/>
          </w:tcPr>
          <w:p w14:paraId="7F61FB0A">
            <w:pPr>
              <w:pStyle w:val="43"/>
              <w:spacing w:line="360" w:lineRule="exact"/>
              <w:jc w:val="left"/>
              <w:rPr>
                <w:rFonts w:hint="default" w:eastAsia="宋体"/>
                <w:vertAlign w:val="baseline"/>
                <w:lang w:val="en-US" w:eastAsia="zh-Hans"/>
              </w:rPr>
            </w:pPr>
          </w:p>
        </w:tc>
        <w:tc>
          <w:tcPr>
            <w:tcW w:w="1022" w:type="dxa"/>
            <w:vAlign w:val="top"/>
          </w:tcPr>
          <w:p w14:paraId="75D51344">
            <w:pPr>
              <w:pStyle w:val="43"/>
              <w:spacing w:line="360" w:lineRule="exact"/>
              <w:jc w:val="left"/>
              <w:rPr>
                <w:rFonts w:hint="default" w:eastAsia="宋体"/>
                <w:vertAlign w:val="baseline"/>
                <w:lang w:val="en-US" w:eastAsia="zh-Hans"/>
              </w:rPr>
            </w:pPr>
          </w:p>
        </w:tc>
      </w:tr>
      <w:tr w14:paraId="1068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48" w:type="dxa"/>
            <w:vAlign w:val="top"/>
          </w:tcPr>
          <w:p w14:paraId="2B7076E3">
            <w:pPr>
              <w:pStyle w:val="43"/>
              <w:spacing w:line="360" w:lineRule="exact"/>
              <w:ind w:left="0" w:leftChars="0" w:firstLine="0" w:firstLineChars="0"/>
              <w:jc w:val="both"/>
              <w:rPr>
                <w:rFonts w:hint="default"/>
                <w:b/>
                <w:bCs/>
                <w:vertAlign w:val="baseline"/>
                <w:lang w:val="en-US" w:eastAsia="zh-CN"/>
              </w:rPr>
            </w:pPr>
            <w:r>
              <w:rPr>
                <w:rFonts w:hint="eastAsia"/>
                <w:b/>
                <w:bCs/>
                <w:vertAlign w:val="baseline"/>
                <w:lang w:val="en-US" w:eastAsia="zh-CN"/>
              </w:rPr>
              <w:t>F</w:t>
            </w:r>
          </w:p>
        </w:tc>
        <w:tc>
          <w:tcPr>
            <w:tcW w:w="3371" w:type="dxa"/>
            <w:vAlign w:val="top"/>
          </w:tcPr>
          <w:p w14:paraId="3879071C">
            <w:pPr>
              <w:pStyle w:val="43"/>
              <w:spacing w:line="360" w:lineRule="exact"/>
              <w:ind w:left="0" w:leftChars="0" w:firstLine="0" w:firstLineChars="0"/>
              <w:jc w:val="left"/>
              <w:rPr>
                <w:rFonts w:hint="default" w:eastAsia="宋体"/>
                <w:b/>
                <w:bCs/>
                <w:vertAlign w:val="baseline"/>
                <w:lang w:val="en-US" w:eastAsia="zh-CN"/>
              </w:rPr>
            </w:pPr>
            <w:r>
              <w:rPr>
                <w:rFonts w:hint="eastAsia"/>
                <w:b/>
                <w:bCs/>
                <w:vertAlign w:val="baseline"/>
                <w:lang w:val="en-US" w:eastAsia="zh-CN"/>
              </w:rPr>
              <w:t>人员考勤</w:t>
            </w:r>
          </w:p>
        </w:tc>
        <w:tc>
          <w:tcPr>
            <w:tcW w:w="1059" w:type="dxa"/>
            <w:vAlign w:val="top"/>
          </w:tcPr>
          <w:p w14:paraId="0181AF51">
            <w:pPr>
              <w:pStyle w:val="43"/>
              <w:spacing w:line="360" w:lineRule="exact"/>
              <w:ind w:left="0" w:leftChars="0" w:firstLine="0" w:firstLineChars="0"/>
              <w:jc w:val="center"/>
              <w:rPr>
                <w:rFonts w:hint="default" w:eastAsia="宋体"/>
                <w:vertAlign w:val="baseline"/>
                <w:lang w:val="en-US" w:eastAsia="zh-CN"/>
              </w:rPr>
            </w:pPr>
            <w:r>
              <w:rPr>
                <w:rFonts w:hint="eastAsia"/>
                <w:b/>
                <w:bCs/>
                <w:vertAlign w:val="baseline"/>
                <w:lang w:val="en-US" w:eastAsia="zh-CN"/>
              </w:rPr>
              <w:t>15</w:t>
            </w:r>
          </w:p>
        </w:tc>
        <w:tc>
          <w:tcPr>
            <w:tcW w:w="1041" w:type="dxa"/>
            <w:vAlign w:val="top"/>
          </w:tcPr>
          <w:p w14:paraId="157BDBA0">
            <w:pPr>
              <w:pStyle w:val="43"/>
              <w:spacing w:line="360" w:lineRule="exact"/>
              <w:jc w:val="left"/>
              <w:rPr>
                <w:rFonts w:hint="default" w:eastAsia="宋体"/>
                <w:vertAlign w:val="baseline"/>
                <w:lang w:val="en-US" w:eastAsia="zh-Hans"/>
              </w:rPr>
            </w:pPr>
          </w:p>
        </w:tc>
        <w:tc>
          <w:tcPr>
            <w:tcW w:w="1747" w:type="dxa"/>
            <w:vAlign w:val="top"/>
          </w:tcPr>
          <w:p w14:paraId="25626719">
            <w:pPr>
              <w:pStyle w:val="43"/>
              <w:spacing w:line="360" w:lineRule="exact"/>
              <w:jc w:val="left"/>
              <w:rPr>
                <w:rFonts w:hint="default" w:eastAsia="宋体"/>
                <w:vertAlign w:val="baseline"/>
                <w:lang w:val="en-US" w:eastAsia="zh-Hans"/>
              </w:rPr>
            </w:pPr>
          </w:p>
        </w:tc>
        <w:tc>
          <w:tcPr>
            <w:tcW w:w="1022" w:type="dxa"/>
            <w:vAlign w:val="top"/>
          </w:tcPr>
          <w:p w14:paraId="3072BD03">
            <w:pPr>
              <w:pStyle w:val="43"/>
              <w:spacing w:line="360" w:lineRule="exact"/>
              <w:jc w:val="left"/>
              <w:rPr>
                <w:rFonts w:hint="default" w:eastAsia="宋体"/>
                <w:vertAlign w:val="baseline"/>
                <w:lang w:val="en-US" w:eastAsia="zh-Hans"/>
              </w:rPr>
            </w:pPr>
          </w:p>
        </w:tc>
      </w:tr>
      <w:tr w14:paraId="18BC6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48" w:type="dxa"/>
            <w:vAlign w:val="top"/>
          </w:tcPr>
          <w:p w14:paraId="3B8E4B55">
            <w:pPr>
              <w:pStyle w:val="43"/>
              <w:spacing w:line="360" w:lineRule="exact"/>
              <w:ind w:left="0" w:leftChars="0" w:firstLine="0" w:firstLineChars="0"/>
              <w:jc w:val="both"/>
              <w:rPr>
                <w:rFonts w:hint="default"/>
                <w:vertAlign w:val="baseline"/>
                <w:lang w:val="en-US" w:eastAsia="zh-CN"/>
              </w:rPr>
            </w:pPr>
            <w:r>
              <w:rPr>
                <w:rFonts w:hint="eastAsia"/>
                <w:vertAlign w:val="baseline"/>
                <w:lang w:val="en-US" w:eastAsia="zh-CN"/>
              </w:rPr>
              <w:t>1</w:t>
            </w:r>
          </w:p>
        </w:tc>
        <w:tc>
          <w:tcPr>
            <w:tcW w:w="3371" w:type="dxa"/>
            <w:vAlign w:val="top"/>
          </w:tcPr>
          <w:p w14:paraId="483456A7">
            <w:pPr>
              <w:pStyle w:val="43"/>
              <w:spacing w:line="360" w:lineRule="exact"/>
              <w:ind w:left="0" w:leftChars="0" w:firstLine="0" w:firstLineChars="0"/>
              <w:jc w:val="left"/>
              <w:rPr>
                <w:rFonts w:hint="default" w:eastAsia="宋体"/>
                <w:vertAlign w:val="baseline"/>
                <w:lang w:val="en-US" w:eastAsia="zh-CN"/>
              </w:rPr>
            </w:pPr>
            <w:r>
              <w:rPr>
                <w:rFonts w:hint="eastAsia"/>
                <w:vertAlign w:val="baseline"/>
                <w:lang w:val="en-US" w:eastAsia="zh-CN"/>
              </w:rPr>
              <w:t>能够满足每个星期至少两天驻场的服务要求</w:t>
            </w:r>
          </w:p>
        </w:tc>
        <w:tc>
          <w:tcPr>
            <w:tcW w:w="1059" w:type="dxa"/>
            <w:vAlign w:val="top"/>
          </w:tcPr>
          <w:p w14:paraId="3F646078">
            <w:pPr>
              <w:pStyle w:val="43"/>
              <w:spacing w:line="360" w:lineRule="exact"/>
              <w:ind w:left="0" w:leftChars="0" w:firstLine="0" w:firstLineChars="0"/>
              <w:jc w:val="center"/>
              <w:rPr>
                <w:rFonts w:hint="default" w:eastAsia="宋体"/>
                <w:vertAlign w:val="baseline"/>
                <w:lang w:val="en-US" w:eastAsia="zh-CN"/>
              </w:rPr>
            </w:pPr>
            <w:r>
              <w:rPr>
                <w:rFonts w:hint="eastAsia"/>
                <w:vertAlign w:val="baseline"/>
                <w:lang w:val="en-US" w:eastAsia="zh-CN"/>
              </w:rPr>
              <w:t>15</w:t>
            </w:r>
          </w:p>
        </w:tc>
        <w:tc>
          <w:tcPr>
            <w:tcW w:w="1041" w:type="dxa"/>
            <w:vAlign w:val="top"/>
          </w:tcPr>
          <w:p w14:paraId="75B5DCF7">
            <w:pPr>
              <w:pStyle w:val="43"/>
              <w:spacing w:line="360" w:lineRule="exact"/>
              <w:jc w:val="left"/>
              <w:rPr>
                <w:rFonts w:hint="default" w:eastAsia="宋体"/>
                <w:vertAlign w:val="baseline"/>
                <w:lang w:val="en-US" w:eastAsia="zh-Hans"/>
              </w:rPr>
            </w:pPr>
          </w:p>
        </w:tc>
        <w:tc>
          <w:tcPr>
            <w:tcW w:w="1747" w:type="dxa"/>
            <w:vAlign w:val="top"/>
          </w:tcPr>
          <w:p w14:paraId="4348F175">
            <w:pPr>
              <w:pStyle w:val="43"/>
              <w:spacing w:line="360" w:lineRule="exact"/>
              <w:jc w:val="left"/>
              <w:rPr>
                <w:rFonts w:hint="default" w:eastAsia="宋体"/>
                <w:vertAlign w:val="baseline"/>
                <w:lang w:val="en-US" w:eastAsia="zh-Hans"/>
              </w:rPr>
            </w:pPr>
          </w:p>
        </w:tc>
        <w:tc>
          <w:tcPr>
            <w:tcW w:w="1022" w:type="dxa"/>
            <w:vAlign w:val="top"/>
          </w:tcPr>
          <w:p w14:paraId="6176222E">
            <w:pPr>
              <w:pStyle w:val="43"/>
              <w:spacing w:line="360" w:lineRule="exact"/>
              <w:jc w:val="left"/>
              <w:rPr>
                <w:rFonts w:hint="default" w:eastAsia="宋体"/>
                <w:vertAlign w:val="baseline"/>
                <w:lang w:val="en-US" w:eastAsia="zh-Hans"/>
              </w:rPr>
            </w:pPr>
          </w:p>
        </w:tc>
      </w:tr>
      <w:tr w14:paraId="3638A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019" w:type="dxa"/>
            <w:gridSpan w:val="2"/>
            <w:vAlign w:val="top"/>
          </w:tcPr>
          <w:p w14:paraId="3C3B90FC">
            <w:pPr>
              <w:pStyle w:val="43"/>
              <w:spacing w:line="360" w:lineRule="exact"/>
              <w:ind w:left="0" w:leftChars="0" w:firstLine="0" w:firstLineChars="0"/>
              <w:jc w:val="left"/>
              <w:rPr>
                <w:rFonts w:hint="default"/>
                <w:vertAlign w:val="baseline"/>
                <w:lang w:val="en-US" w:eastAsia="zh-CN"/>
              </w:rPr>
            </w:pPr>
            <w:r>
              <w:rPr>
                <w:rFonts w:hint="eastAsia"/>
                <w:vertAlign w:val="baseline"/>
                <w:lang w:val="en-US" w:eastAsia="zh-CN"/>
              </w:rPr>
              <w:t>当月考核总得分：</w:t>
            </w:r>
          </w:p>
        </w:tc>
        <w:tc>
          <w:tcPr>
            <w:tcW w:w="2100" w:type="dxa"/>
            <w:gridSpan w:val="2"/>
            <w:vAlign w:val="top"/>
          </w:tcPr>
          <w:p w14:paraId="27F98E12">
            <w:pPr>
              <w:pStyle w:val="43"/>
              <w:spacing w:line="360" w:lineRule="exact"/>
              <w:ind w:left="0" w:leftChars="0" w:firstLine="0" w:firstLineChars="0"/>
              <w:jc w:val="left"/>
              <w:rPr>
                <w:rFonts w:hint="eastAsia" w:eastAsia="宋体"/>
                <w:vertAlign w:val="baseline"/>
                <w:lang w:val="en-US" w:eastAsia="zh-CN"/>
              </w:rPr>
            </w:pPr>
            <w:r>
              <w:rPr>
                <w:rFonts w:hint="eastAsia"/>
                <w:vertAlign w:val="baseline"/>
                <w:lang w:val="en-US" w:eastAsia="zh-CN"/>
              </w:rPr>
              <w:t>考核人：</w:t>
            </w:r>
          </w:p>
        </w:tc>
        <w:tc>
          <w:tcPr>
            <w:tcW w:w="2769" w:type="dxa"/>
            <w:gridSpan w:val="2"/>
            <w:vAlign w:val="top"/>
          </w:tcPr>
          <w:p w14:paraId="784E55EE">
            <w:pPr>
              <w:pStyle w:val="43"/>
              <w:spacing w:line="360" w:lineRule="exact"/>
              <w:ind w:left="0" w:leftChars="0" w:firstLine="0" w:firstLineChars="0"/>
              <w:jc w:val="left"/>
              <w:rPr>
                <w:rFonts w:hint="eastAsia" w:eastAsia="宋体"/>
                <w:vertAlign w:val="baseline"/>
                <w:lang w:val="en-US" w:eastAsia="zh-CN"/>
              </w:rPr>
            </w:pPr>
            <w:r>
              <w:rPr>
                <w:rFonts w:hint="eastAsia"/>
                <w:vertAlign w:val="baseline"/>
                <w:lang w:val="en-US" w:eastAsia="zh-CN"/>
              </w:rPr>
              <w:t>被考核单位：</w:t>
            </w:r>
          </w:p>
        </w:tc>
      </w:tr>
      <w:tr w14:paraId="2BD9A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888" w:type="dxa"/>
            <w:gridSpan w:val="6"/>
            <w:vAlign w:val="top"/>
          </w:tcPr>
          <w:p w14:paraId="1DEA1929">
            <w:pPr>
              <w:pStyle w:val="43"/>
              <w:tabs>
                <w:tab w:val="left" w:pos="1564"/>
              </w:tabs>
              <w:spacing w:line="360" w:lineRule="exact"/>
              <w:ind w:left="0" w:leftChars="0" w:firstLine="0" w:firstLineChars="0"/>
              <w:jc w:val="left"/>
              <w:rPr>
                <w:rFonts w:hint="default"/>
                <w:vertAlign w:val="baseline"/>
                <w:lang w:val="en-US" w:eastAsia="zh-CN"/>
              </w:rPr>
            </w:pPr>
            <w:r>
              <w:rPr>
                <w:rFonts w:hint="eastAsia"/>
                <w:vertAlign w:val="baseline"/>
                <w:lang w:val="en-US" w:eastAsia="zh-CN"/>
              </w:rPr>
              <w:t>意见：</w:t>
            </w:r>
          </w:p>
        </w:tc>
      </w:tr>
      <w:tr w14:paraId="38846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8888" w:type="dxa"/>
            <w:gridSpan w:val="6"/>
            <w:vAlign w:val="top"/>
          </w:tcPr>
          <w:p w14:paraId="1C4A9BF5">
            <w:pPr>
              <w:pStyle w:val="43"/>
              <w:spacing w:line="360" w:lineRule="exact"/>
              <w:ind w:left="0" w:leftChars="0" w:firstLine="0" w:firstLineChars="0"/>
              <w:jc w:val="left"/>
              <w:rPr>
                <w:rFonts w:hint="default"/>
                <w:vertAlign w:val="baseline"/>
                <w:lang w:val="en-US" w:eastAsia="zh-CN"/>
              </w:rPr>
            </w:pPr>
            <w:r>
              <w:rPr>
                <w:rFonts w:hint="eastAsia"/>
                <w:vertAlign w:val="baseline"/>
                <w:lang w:val="en-US" w:eastAsia="zh-CN"/>
              </w:rPr>
              <w:t>备注：</w:t>
            </w:r>
            <w:r>
              <w:rPr>
                <w:rFonts w:ascii="Arial" w:hAnsi="Arial" w:eastAsia="Arial" w:cs="Arial"/>
                <w:snapToGrid w:val="0"/>
                <w:color w:val="000000"/>
                <w:kern w:val="0"/>
                <w:sz w:val="21"/>
                <w:szCs w:val="21"/>
                <w:shd w:val="clear"/>
              </w:rPr>
              <w:t>总分为 100 分。每月检查考核一次，每季度计平均分，季度考核低于 80 分, 每低于 1</w:t>
            </w:r>
            <w:r>
              <w:rPr>
                <w:rFonts w:hint="eastAsia" w:ascii="Arial" w:hAnsi="Arial" w:cs="Arial"/>
                <w:snapToGrid w:val="0"/>
                <w:color w:val="000000"/>
                <w:kern w:val="0"/>
                <w:sz w:val="21"/>
                <w:szCs w:val="21"/>
                <w:shd w:val="clear"/>
                <w:lang w:val="en-US" w:eastAsia="zh-CN"/>
              </w:rPr>
              <w:t>0</w:t>
            </w:r>
            <w:r>
              <w:rPr>
                <w:rFonts w:ascii="Arial" w:hAnsi="Arial" w:eastAsia="Arial" w:cs="Arial"/>
                <w:snapToGrid w:val="0"/>
                <w:color w:val="000000"/>
                <w:kern w:val="0"/>
                <w:sz w:val="21"/>
                <w:szCs w:val="21"/>
                <w:shd w:val="clear"/>
              </w:rPr>
              <w:t xml:space="preserve"> 分扣当季度</w:t>
            </w:r>
            <w:r>
              <w:rPr>
                <w:rFonts w:hint="eastAsia" w:ascii="Arial" w:hAnsi="Arial" w:cs="Arial"/>
                <w:snapToGrid w:val="0"/>
                <w:color w:val="000000"/>
                <w:kern w:val="0"/>
                <w:sz w:val="21"/>
                <w:szCs w:val="21"/>
                <w:shd w:val="clear"/>
                <w:lang w:val="en-US" w:eastAsia="zh-CN"/>
              </w:rPr>
              <w:t>服务</w:t>
            </w:r>
            <w:r>
              <w:rPr>
                <w:rFonts w:ascii="Arial" w:hAnsi="Arial" w:eastAsia="Arial" w:cs="Arial"/>
                <w:snapToGrid w:val="0"/>
                <w:color w:val="000000"/>
                <w:kern w:val="0"/>
                <w:sz w:val="21"/>
                <w:szCs w:val="21"/>
                <w:shd w:val="clear"/>
              </w:rPr>
              <w:t>费的10%，低</w:t>
            </w:r>
            <w:r>
              <w:rPr>
                <w:rFonts w:hint="eastAsia" w:ascii="Arial" w:hAnsi="Arial" w:cs="Arial"/>
                <w:snapToGrid w:val="0"/>
                <w:color w:val="000000"/>
                <w:kern w:val="0"/>
                <w:sz w:val="21"/>
                <w:szCs w:val="21"/>
                <w:shd w:val="clear"/>
                <w:lang w:val="en-US" w:eastAsia="zh-CN"/>
              </w:rPr>
              <w:t>于6</w:t>
            </w:r>
            <w:r>
              <w:rPr>
                <w:rFonts w:ascii="Arial" w:hAnsi="Arial" w:eastAsia="Arial" w:cs="Arial"/>
                <w:snapToGrid w:val="0"/>
                <w:color w:val="000000"/>
                <w:kern w:val="0"/>
                <w:sz w:val="21"/>
                <w:szCs w:val="21"/>
                <w:shd w:val="clear"/>
              </w:rPr>
              <w:t>0 分以下</w:t>
            </w:r>
            <w:r>
              <w:rPr>
                <w:rFonts w:hint="eastAsia" w:ascii="Arial" w:hAnsi="Arial" w:cs="Arial"/>
                <w:snapToGrid w:val="0"/>
                <w:color w:val="000000"/>
                <w:kern w:val="0"/>
                <w:sz w:val="21"/>
                <w:szCs w:val="21"/>
                <w:shd w:val="clear"/>
                <w:lang w:val="en-US" w:eastAsia="zh-CN"/>
              </w:rPr>
              <w:t>判定为不合格，且不合格</w:t>
            </w:r>
            <w:r>
              <w:rPr>
                <w:rFonts w:ascii="Arial" w:hAnsi="Arial" w:eastAsia="Arial" w:cs="Arial"/>
                <w:snapToGrid w:val="0"/>
                <w:color w:val="000000"/>
                <w:kern w:val="0"/>
                <w:sz w:val="21"/>
                <w:szCs w:val="21"/>
                <w:shd w:val="clear"/>
              </w:rPr>
              <w:t>年累计出现两次，将通知单位终止合同。</w:t>
            </w:r>
          </w:p>
        </w:tc>
      </w:tr>
    </w:tbl>
    <w:p w14:paraId="4B981569">
      <w:pPr>
        <w:pStyle w:val="43"/>
        <w:spacing w:line="360" w:lineRule="exact"/>
        <w:ind w:left="480" w:leftChars="200" w:firstLine="480"/>
        <w:rPr>
          <w:rFonts w:hint="default" w:eastAsia="宋体"/>
          <w:lang w:val="en-US" w:eastAsia="zh-Hans"/>
        </w:rPr>
      </w:pPr>
    </w:p>
    <w:p w14:paraId="6B34FE3F">
      <w:pPr>
        <w:rPr>
          <w:rFonts w:hint="eastAsia" w:eastAsia="宋体"/>
          <w:lang w:val="en-US" w:eastAsia="zh-Hans"/>
        </w:rPr>
      </w:pPr>
      <w:r>
        <w:rPr>
          <w:rFonts w:hint="default" w:eastAsia="宋体"/>
          <w:lang w:val="en-US" w:eastAsia="zh-Hans"/>
        </w:rPr>
        <w:br w:type="page"/>
      </w:r>
    </w:p>
    <w:p w14:paraId="564533B5">
      <w:pPr>
        <w:pStyle w:val="51"/>
        <w:bidi w:val="0"/>
      </w:pPr>
      <w:bookmarkStart w:id="6" w:name="_Toc18401"/>
      <w:r>
        <w:rPr>
          <w:rFonts w:hint="eastAsia"/>
        </w:rPr>
        <w:t xml:space="preserve">第二章 </w:t>
      </w:r>
      <w:r>
        <w:t>投标</w:t>
      </w:r>
      <w:r>
        <w:rPr>
          <w:rFonts w:hint="eastAsia"/>
        </w:rPr>
        <w:t>人</w:t>
      </w:r>
      <w:r>
        <w:t>须知</w:t>
      </w:r>
      <w:bookmarkEnd w:id="6"/>
    </w:p>
    <w:p w14:paraId="201541E8">
      <w:pPr>
        <w:pStyle w:val="49"/>
      </w:pPr>
      <w:bookmarkStart w:id="7" w:name="_Toc21153"/>
      <w:r>
        <w:t>一</w:t>
      </w:r>
      <w:r>
        <w:rPr>
          <w:rFonts w:hint="eastAsia"/>
        </w:rPr>
        <w:t>、</w:t>
      </w:r>
      <w:r>
        <w:t>招</w:t>
      </w:r>
      <w:r>
        <w:rPr>
          <w:rFonts w:hint="eastAsia"/>
        </w:rPr>
        <w:t xml:space="preserve"> </w:t>
      </w:r>
      <w:r>
        <w:t>标</w:t>
      </w:r>
      <w:bookmarkEnd w:id="7"/>
    </w:p>
    <w:p w14:paraId="71450694">
      <w:pPr>
        <w:pStyle w:val="47"/>
      </w:pPr>
      <w:bookmarkStart w:id="8" w:name="_Toc1638"/>
      <w:r>
        <w:rPr>
          <w:rFonts w:hint="eastAsia"/>
        </w:rPr>
        <w:t>（一）适用范围</w:t>
      </w:r>
      <w:bookmarkEnd w:id="8"/>
    </w:p>
    <w:p w14:paraId="10F7D127">
      <w:pPr>
        <w:pStyle w:val="43"/>
        <w:ind w:firstLine="480"/>
      </w:pPr>
      <w:r>
        <w:rPr>
          <w:rFonts w:hint="eastAsia"/>
        </w:rPr>
        <w:t>本招标文件仅适用于本“投标邀请”中所述相关服务的采购。</w:t>
      </w:r>
    </w:p>
    <w:p w14:paraId="2EB596F3">
      <w:pPr>
        <w:pStyle w:val="47"/>
      </w:pPr>
      <w:bookmarkStart w:id="9" w:name="_Toc8442"/>
      <w:r>
        <w:rPr>
          <w:rFonts w:hint="eastAsia"/>
        </w:rPr>
        <w:t>（二）合格投标人</w:t>
      </w:r>
      <w:bookmarkEnd w:id="9"/>
    </w:p>
    <w:p w14:paraId="7A62752F">
      <w:pPr>
        <w:pStyle w:val="43"/>
        <w:ind w:firstLine="480"/>
      </w:pPr>
      <w:r>
        <w:rPr>
          <w:rFonts w:hint="eastAsia"/>
        </w:rPr>
        <w:t>投标人的资格条件： 详见“投标邀请”</w:t>
      </w:r>
    </w:p>
    <w:p w14:paraId="27800E72">
      <w:pPr>
        <w:pStyle w:val="47"/>
      </w:pPr>
      <w:bookmarkStart w:id="10" w:name="_Toc22977"/>
      <w:r>
        <w:rPr>
          <w:rFonts w:hint="eastAsia"/>
        </w:rPr>
        <w:t>（三）投标费用</w:t>
      </w:r>
      <w:bookmarkEnd w:id="10"/>
    </w:p>
    <w:p w14:paraId="19DC162F">
      <w:pPr>
        <w:pStyle w:val="43"/>
        <w:ind w:firstLine="480"/>
      </w:pPr>
      <w:r>
        <w:rPr>
          <w:rFonts w:hint="eastAsia"/>
        </w:rPr>
        <w:t>投标人应自行承担所有与准备和参加投标有关的全部费用。不论投标的结果如何，采购方均无义务和责任承担这些费用。</w:t>
      </w:r>
    </w:p>
    <w:p w14:paraId="5C49EDB4">
      <w:pPr>
        <w:pStyle w:val="47"/>
      </w:pPr>
      <w:bookmarkStart w:id="11" w:name="_Toc22360"/>
      <w:r>
        <w:rPr>
          <w:rFonts w:hint="eastAsia"/>
        </w:rPr>
        <w:t>（四）投标人代表</w:t>
      </w:r>
      <w:bookmarkEnd w:id="11"/>
    </w:p>
    <w:p w14:paraId="54328098">
      <w:pPr>
        <w:pStyle w:val="43"/>
        <w:ind w:firstLine="480"/>
      </w:pPr>
      <w:r>
        <w:rPr>
          <w:rFonts w:hint="eastAsia"/>
        </w:rPr>
        <w:t>指全权代表投标人参加投标活动并签署投标文件的人。如果投标人代表不是法定代表人，须持有《法定代表人授权书》。</w:t>
      </w:r>
    </w:p>
    <w:p w14:paraId="6B8F363E">
      <w:pPr>
        <w:pStyle w:val="47"/>
      </w:pPr>
      <w:bookmarkStart w:id="12" w:name="_Toc25218"/>
      <w:r>
        <w:rPr>
          <w:rFonts w:hint="eastAsia"/>
        </w:rPr>
        <w:t>（五）招标文件的构成</w:t>
      </w:r>
      <w:bookmarkEnd w:id="12"/>
    </w:p>
    <w:p w14:paraId="77FE016C">
      <w:pPr>
        <w:pStyle w:val="43"/>
        <w:ind w:firstLine="480"/>
      </w:pPr>
      <w:r>
        <w:rPr>
          <w:rFonts w:hint="eastAsia"/>
        </w:rPr>
        <w:t>要求提供的相关服务、招标过程和合同条款在招标文件中均有说明。招标文件共六章，各章的内容如下：</w:t>
      </w:r>
    </w:p>
    <w:p w14:paraId="674EA55E">
      <w:pPr>
        <w:pStyle w:val="43"/>
        <w:ind w:firstLine="480"/>
      </w:pPr>
      <w:r>
        <w:rPr>
          <w:rFonts w:hint="eastAsia"/>
        </w:rPr>
        <w:t>第一章 投标邀请</w:t>
      </w:r>
    </w:p>
    <w:p w14:paraId="7E8574DE">
      <w:pPr>
        <w:pStyle w:val="43"/>
        <w:ind w:firstLine="480"/>
      </w:pPr>
      <w:r>
        <w:rPr>
          <w:rFonts w:hint="eastAsia"/>
        </w:rPr>
        <w:t>第二章 投标人须知</w:t>
      </w:r>
    </w:p>
    <w:p w14:paraId="1933BD3A">
      <w:pPr>
        <w:pStyle w:val="43"/>
        <w:ind w:firstLine="480"/>
      </w:pPr>
      <w:r>
        <w:rPr>
          <w:rFonts w:hint="eastAsia"/>
        </w:rPr>
        <w:t>第三章 拟签订的合同文本</w:t>
      </w:r>
    </w:p>
    <w:p w14:paraId="58665A12">
      <w:pPr>
        <w:pStyle w:val="43"/>
        <w:ind w:firstLine="480"/>
      </w:pPr>
      <w:r>
        <w:rPr>
          <w:rFonts w:hint="eastAsia"/>
        </w:rPr>
        <w:t>第四章 投标文件格式</w:t>
      </w:r>
    </w:p>
    <w:p w14:paraId="2F84C0F0">
      <w:pPr>
        <w:pStyle w:val="43"/>
        <w:ind w:firstLine="480"/>
      </w:pPr>
      <w:r>
        <w:rPr>
          <w:rFonts w:hint="eastAsia"/>
        </w:rPr>
        <w:t>第五章 采购需求表及采购要求</w:t>
      </w:r>
    </w:p>
    <w:p w14:paraId="0EE1BFFC">
      <w:pPr>
        <w:pStyle w:val="43"/>
        <w:ind w:firstLine="480"/>
      </w:pPr>
      <w:r>
        <w:rPr>
          <w:rFonts w:hint="eastAsia"/>
        </w:rPr>
        <w:t>第六章 评标标准</w:t>
      </w:r>
    </w:p>
    <w:p w14:paraId="049DF974">
      <w:pPr>
        <w:pStyle w:val="43"/>
        <w:ind w:firstLine="480"/>
      </w:pPr>
      <w:r>
        <w:rPr>
          <w:rFonts w:hint="eastAsia"/>
        </w:rPr>
        <w:t>除非有特殊要求，招标文件不单独提供招标所需服务使用地的自然环境、气候条件、公用设施等情况，投标人被视为熟悉上述与履行合同有关的一切情况。</w:t>
      </w:r>
    </w:p>
    <w:p w14:paraId="77A2E5E5">
      <w:pPr>
        <w:pStyle w:val="47"/>
      </w:pPr>
      <w:bookmarkStart w:id="13" w:name="_Toc552"/>
      <w:r>
        <w:rPr>
          <w:rFonts w:hint="eastAsia"/>
        </w:rPr>
        <w:t>（六）投标人应当提交的资格、资信证明文件的要求</w:t>
      </w:r>
      <w:bookmarkEnd w:id="13"/>
    </w:p>
    <w:p w14:paraId="51C3C323">
      <w:pPr>
        <w:pStyle w:val="43"/>
        <w:ind w:firstLine="480"/>
        <w:rPr>
          <w:rFonts w:hint="default" w:eastAsia="宋体"/>
          <w:lang w:val="en-US" w:eastAsia="zh-Hans"/>
        </w:rPr>
      </w:pPr>
      <w:r>
        <w:rPr>
          <w:rFonts w:hint="default" w:eastAsia="宋体"/>
          <w:lang w:eastAsia="zh-Hans"/>
        </w:rPr>
        <w:t>1、</w:t>
      </w:r>
      <w:r>
        <w:rPr>
          <w:rFonts w:hint="default" w:eastAsia="宋体"/>
          <w:lang w:val="en-US" w:eastAsia="zh-Hans"/>
        </w:rPr>
        <w:t>报价单位的营业执照正、副本(复印件</w:t>
      </w:r>
      <w:r>
        <w:rPr>
          <w:rFonts w:hint="eastAsia" w:eastAsia="宋体"/>
          <w:lang w:val="en-US" w:eastAsia="zh-Hans"/>
        </w:rPr>
        <w:t>需加盖单位公章</w:t>
      </w:r>
      <w:r>
        <w:rPr>
          <w:rFonts w:hint="default" w:eastAsia="宋体"/>
          <w:lang w:eastAsia="zh-Hans"/>
        </w:rPr>
        <w:t>、</w:t>
      </w:r>
      <w:r>
        <w:rPr>
          <w:rFonts w:hint="eastAsia" w:eastAsia="宋体"/>
          <w:lang w:val="en-US" w:eastAsia="zh-Hans"/>
        </w:rPr>
        <w:t>营业执照年检需合格</w:t>
      </w:r>
      <w:r>
        <w:rPr>
          <w:rFonts w:hint="default" w:eastAsia="宋体"/>
          <w:lang w:val="en-US" w:eastAsia="zh-Hans"/>
        </w:rPr>
        <w:t>)</w:t>
      </w:r>
    </w:p>
    <w:p w14:paraId="0152FE28">
      <w:pPr>
        <w:pStyle w:val="43"/>
        <w:ind w:firstLine="480"/>
        <w:rPr>
          <w:rFonts w:hint="default" w:eastAsia="宋体"/>
          <w:lang w:val="en-US" w:eastAsia="zh-Hans"/>
        </w:rPr>
      </w:pPr>
      <w:r>
        <w:rPr>
          <w:rFonts w:hint="default" w:eastAsia="宋体"/>
          <w:lang w:eastAsia="zh-Hans"/>
        </w:rPr>
        <w:t>2、</w:t>
      </w:r>
      <w:r>
        <w:rPr>
          <w:rFonts w:hint="default" w:eastAsia="宋体"/>
          <w:lang w:val="en-US" w:eastAsia="zh-Hans"/>
        </w:rPr>
        <w:t>报价单位的税务登记证(复印件</w:t>
      </w:r>
      <w:r>
        <w:rPr>
          <w:rFonts w:hint="default" w:eastAsia="宋体"/>
          <w:lang w:eastAsia="zh-Hans"/>
        </w:rPr>
        <w:t>，</w:t>
      </w:r>
      <w:r>
        <w:rPr>
          <w:rFonts w:hint="eastAsia" w:eastAsia="宋体"/>
          <w:lang w:val="en-US" w:eastAsia="zh-Hans"/>
        </w:rPr>
        <w:t>需加盖单位公章</w:t>
      </w:r>
      <w:r>
        <w:rPr>
          <w:rFonts w:hint="default" w:eastAsia="宋体"/>
          <w:lang w:val="en-US" w:eastAsia="zh-Hans"/>
        </w:rPr>
        <w:t>)</w:t>
      </w:r>
    </w:p>
    <w:p w14:paraId="3C822BFE">
      <w:pPr>
        <w:pStyle w:val="43"/>
        <w:ind w:firstLine="480"/>
        <w:rPr>
          <w:rFonts w:hint="default" w:eastAsia="宋体"/>
          <w:lang w:val="en-US" w:eastAsia="zh-Hans"/>
        </w:rPr>
      </w:pPr>
      <w:r>
        <w:rPr>
          <w:rFonts w:hint="default" w:eastAsia="宋体"/>
          <w:lang w:val="en-US" w:eastAsia="zh-Hans"/>
        </w:rPr>
        <w:t>3</w:t>
      </w:r>
      <w:r>
        <w:rPr>
          <w:rFonts w:hint="default" w:eastAsia="宋体"/>
          <w:lang w:eastAsia="zh-Hans"/>
        </w:rPr>
        <w:t>、</w:t>
      </w:r>
      <w:r>
        <w:rPr>
          <w:rFonts w:hint="default" w:eastAsia="宋体"/>
          <w:lang w:val="en-US" w:eastAsia="zh-Hans"/>
        </w:rPr>
        <w:t>法人代表授权证书(法人签字并盖公章)</w:t>
      </w:r>
    </w:p>
    <w:p w14:paraId="0C7B87C1">
      <w:pPr>
        <w:pStyle w:val="43"/>
        <w:ind w:firstLine="480"/>
        <w:rPr>
          <w:rFonts w:hint="default" w:eastAsia="宋体"/>
          <w:lang w:val="en-US" w:eastAsia="zh-Hans"/>
        </w:rPr>
      </w:pPr>
      <w:r>
        <w:rPr>
          <w:rFonts w:hint="default" w:eastAsia="宋体"/>
          <w:lang w:val="en-US" w:eastAsia="zh-Hans"/>
        </w:rPr>
        <w:t>4</w:t>
      </w:r>
      <w:r>
        <w:rPr>
          <w:rFonts w:hint="default" w:eastAsia="宋体"/>
          <w:lang w:eastAsia="zh-Hans"/>
        </w:rPr>
        <w:t>、</w:t>
      </w:r>
      <w:r>
        <w:rPr>
          <w:rFonts w:hint="default" w:eastAsia="宋体"/>
          <w:lang w:val="en-US" w:eastAsia="zh-Hans"/>
        </w:rPr>
        <w:t>法人身份证复印件及联系方式</w:t>
      </w:r>
      <w:r>
        <w:rPr>
          <w:rFonts w:hint="default" w:eastAsia="宋体"/>
          <w:lang w:eastAsia="zh-Hans"/>
        </w:rPr>
        <w:t>（</w:t>
      </w:r>
      <w:r>
        <w:rPr>
          <w:rFonts w:hint="eastAsia" w:eastAsia="宋体"/>
          <w:lang w:val="en-US" w:eastAsia="zh-Hans"/>
        </w:rPr>
        <w:t>需加盖单位公章</w:t>
      </w:r>
      <w:r>
        <w:rPr>
          <w:rFonts w:hint="default" w:eastAsia="宋体"/>
          <w:lang w:val="en-US" w:eastAsia="zh-Hans"/>
        </w:rPr>
        <w:t>)</w:t>
      </w:r>
    </w:p>
    <w:p w14:paraId="2287E66C">
      <w:pPr>
        <w:pStyle w:val="43"/>
        <w:ind w:firstLine="480"/>
        <w:rPr>
          <w:rFonts w:hint="eastAsia" w:eastAsia="宋体"/>
        </w:rPr>
      </w:pPr>
      <w:r>
        <w:rPr>
          <w:rFonts w:hint="default" w:eastAsia="宋体"/>
          <w:lang w:val="en-US" w:eastAsia="zh-Hans"/>
        </w:rPr>
        <w:t>5</w:t>
      </w:r>
      <w:r>
        <w:rPr>
          <w:rFonts w:hint="default" w:eastAsia="宋体"/>
          <w:lang w:eastAsia="zh-Hans"/>
        </w:rPr>
        <w:t>、</w:t>
      </w:r>
      <w:r>
        <w:rPr>
          <w:rFonts w:hint="eastAsia" w:eastAsia="宋体"/>
          <w:lang w:val="en-US" w:eastAsia="zh-Hans"/>
        </w:rPr>
        <w:t>一级造价工程师职业资格</w:t>
      </w:r>
      <w:r>
        <w:rPr>
          <w:rFonts w:hint="default" w:eastAsia="宋体"/>
          <w:lang w:val="en-US" w:eastAsia="zh-Hans"/>
        </w:rPr>
        <w:t>证书(复印件</w:t>
      </w:r>
      <w:r>
        <w:rPr>
          <w:rFonts w:hint="default" w:eastAsia="宋体"/>
          <w:lang w:eastAsia="zh-Hans"/>
        </w:rPr>
        <w:t>，</w:t>
      </w:r>
      <w:r>
        <w:rPr>
          <w:rFonts w:hint="eastAsia" w:eastAsia="宋体"/>
          <w:lang w:val="en-US" w:eastAsia="zh-Hans"/>
        </w:rPr>
        <w:t>需加盖单位公章</w:t>
      </w:r>
      <w:r>
        <w:rPr>
          <w:rFonts w:hint="default" w:eastAsia="宋体"/>
          <w:lang w:val="en-US" w:eastAsia="zh-Hans"/>
        </w:rPr>
        <w:t>)</w:t>
      </w:r>
    </w:p>
    <w:p w14:paraId="6CDD1752">
      <w:pPr>
        <w:pStyle w:val="43"/>
        <w:ind w:firstLine="480"/>
        <w:rPr>
          <w:rFonts w:hint="eastAsia" w:eastAsia="宋体"/>
        </w:rPr>
      </w:pPr>
      <w:r>
        <w:rPr>
          <w:rFonts w:hint="default" w:eastAsia="宋体"/>
        </w:rPr>
        <w:t>6</w:t>
      </w:r>
      <w:r>
        <w:rPr>
          <w:rFonts w:hint="eastAsia" w:eastAsia="宋体"/>
        </w:rPr>
        <w:t>、其他资格证明文件</w:t>
      </w:r>
    </w:p>
    <w:p w14:paraId="64DBAB06">
      <w:pPr>
        <w:pStyle w:val="49"/>
      </w:pPr>
      <w:bookmarkStart w:id="14" w:name="_Toc14583"/>
      <w:r>
        <w:rPr>
          <w:rFonts w:hint="eastAsia"/>
        </w:rPr>
        <w:t>二、投 标</w:t>
      </w:r>
      <w:bookmarkEnd w:id="14"/>
    </w:p>
    <w:p w14:paraId="13580037">
      <w:pPr>
        <w:pStyle w:val="47"/>
      </w:pPr>
      <w:bookmarkStart w:id="15" w:name="_Toc1971"/>
      <w:r>
        <w:rPr>
          <w:rFonts w:hint="eastAsia"/>
        </w:rPr>
        <w:t>（一）投标文件</w:t>
      </w:r>
      <w:r>
        <w:t>的编制</w:t>
      </w:r>
      <w:bookmarkEnd w:id="15"/>
    </w:p>
    <w:p w14:paraId="4051763B">
      <w:pPr>
        <w:pStyle w:val="43"/>
        <w:ind w:firstLine="480"/>
      </w:pPr>
      <w:r>
        <w:rPr>
          <w:rFonts w:hint="eastAsia"/>
        </w:rPr>
        <w:t>1、投标人应当按照招标文件的要求编制投标文件。投标文件应当对招标文件提出的要求和条件作出明确响应。</w:t>
      </w:r>
    </w:p>
    <w:p w14:paraId="49B7B62F">
      <w:pPr>
        <w:pStyle w:val="43"/>
        <w:ind w:firstLine="480"/>
      </w:pPr>
      <w:r>
        <w:rPr>
          <w:rFonts w:hint="eastAsia"/>
        </w:rPr>
        <w:t>2、投标文件因字迹潦草或表达不清所引起的后果由投标人负责。</w:t>
      </w:r>
    </w:p>
    <w:p w14:paraId="74E308E2">
      <w:pPr>
        <w:pStyle w:val="47"/>
      </w:pPr>
      <w:bookmarkStart w:id="16" w:name="_Toc25780"/>
      <w:r>
        <w:rPr>
          <w:rFonts w:hint="eastAsia"/>
        </w:rPr>
        <w:t>（二）投标文件计量单位</w:t>
      </w:r>
      <w:bookmarkEnd w:id="16"/>
      <w:r>
        <w:rPr>
          <w:rFonts w:hint="eastAsia"/>
        </w:rPr>
        <w:tab/>
      </w:r>
    </w:p>
    <w:p w14:paraId="50470E3D">
      <w:pPr>
        <w:pStyle w:val="43"/>
        <w:ind w:firstLine="480"/>
      </w:pPr>
      <w:r>
        <w:rPr>
          <w:rFonts w:hint="eastAsia"/>
        </w:rPr>
        <w:t>投标文件中所使用的计量单位, 除招标文件中有特殊要求外，应采用国家法定计量单位。</w:t>
      </w:r>
    </w:p>
    <w:p w14:paraId="3B76B10E">
      <w:pPr>
        <w:pStyle w:val="47"/>
      </w:pPr>
      <w:bookmarkStart w:id="17" w:name="_Toc18945"/>
      <w:r>
        <w:rPr>
          <w:rFonts w:hint="eastAsia"/>
        </w:rPr>
        <w:t>（三）投标文件的</w:t>
      </w:r>
      <w:r>
        <w:t>构成</w:t>
      </w:r>
      <w:bookmarkEnd w:id="17"/>
    </w:p>
    <w:p w14:paraId="52DF59AC">
      <w:pPr>
        <w:pStyle w:val="43"/>
        <w:ind w:firstLine="480"/>
      </w:pPr>
      <w:r>
        <w:rPr>
          <w:rFonts w:hint="eastAsia"/>
        </w:rPr>
        <w:t>申请文</w:t>
      </w:r>
      <w:r>
        <w:rPr>
          <w:rFonts w:hint="eastAsia"/>
          <w:lang w:val="en-US" w:eastAsia="zh-Hans"/>
        </w:rPr>
        <w:t>件</w:t>
      </w:r>
      <w:r>
        <w:rPr>
          <w:rFonts w:hint="eastAsia"/>
        </w:rPr>
        <w:t>装入申请文件袋中，并在文件袋封贴处密封签章（加盖单位公章）。</w:t>
      </w:r>
    </w:p>
    <w:p w14:paraId="5FE35F1C">
      <w:pPr>
        <w:pStyle w:val="47"/>
      </w:pPr>
      <w:bookmarkStart w:id="18" w:name="_Toc23899"/>
      <w:r>
        <w:rPr>
          <w:rFonts w:hint="eastAsia"/>
        </w:rPr>
        <w:t>（四）投标报价</w:t>
      </w:r>
      <w:bookmarkEnd w:id="18"/>
    </w:p>
    <w:p w14:paraId="0CD7DA27">
      <w:pPr>
        <w:pStyle w:val="43"/>
        <w:ind w:firstLine="480"/>
        <w:jc w:val="left"/>
      </w:pPr>
      <w:r>
        <w:rPr>
          <w:rFonts w:hint="eastAsia"/>
        </w:rPr>
        <w:t>1、所有投标均以人民币报价，报价内容包含招标文件规定的完成相关服务所需的设备、人员、培训、技术支持、税费等一切相关费用。</w:t>
      </w:r>
    </w:p>
    <w:p w14:paraId="283AE659">
      <w:pPr>
        <w:pStyle w:val="43"/>
        <w:ind w:firstLine="480"/>
        <w:jc w:val="left"/>
      </w:pPr>
      <w:r>
        <w:t>3</w:t>
      </w:r>
      <w:r>
        <w:rPr>
          <w:rFonts w:hint="eastAsia"/>
        </w:rPr>
        <w:t>、投标人要按开标一览表（统一格式）的内容填写</w:t>
      </w:r>
      <w:r>
        <w:rPr>
          <w:rFonts w:hint="eastAsia"/>
          <w:lang w:val="en-US" w:eastAsia="zh-Hans"/>
        </w:rPr>
        <w:t>投标价</w:t>
      </w:r>
      <w:r>
        <w:rPr>
          <w:rFonts w:hint="eastAsia"/>
        </w:rPr>
        <w:t>及其他事项。投标总价中不得包含招标文件要求以外的内容，否则，在评标时不予核减。若投标人不同意，投标无效。</w:t>
      </w:r>
    </w:p>
    <w:p w14:paraId="6F128E7B">
      <w:pPr>
        <w:pStyle w:val="43"/>
        <w:ind w:firstLine="480"/>
        <w:jc w:val="left"/>
      </w:pPr>
      <w:r>
        <w:t>4</w:t>
      </w:r>
      <w:r>
        <w:rPr>
          <w:rFonts w:hint="eastAsia"/>
        </w:rPr>
        <w:t>、投标总价中如缺漏招标文件所要求的内容，投标人中标后须提供，且中标价以投标报价为准；若投标人不同意，投标无效。</w:t>
      </w:r>
    </w:p>
    <w:p w14:paraId="7FDC5A2A">
      <w:pPr>
        <w:pStyle w:val="43"/>
        <w:ind w:firstLine="480"/>
        <w:jc w:val="left"/>
      </w:pPr>
      <w:r>
        <w:t>5</w:t>
      </w:r>
      <w:r>
        <w:rPr>
          <w:rFonts w:hint="eastAsia"/>
        </w:rPr>
        <w:t>、投标人所报的投标价在合同执行过程中是固定不变的，不得以任何理由予以变更。投标人应对所有招标内容进行投标，且只提供最优方案一套，投标人提交任何包含价格调整要求的投标将按非实质性响应投标，投标无效。</w:t>
      </w:r>
    </w:p>
    <w:p w14:paraId="03820CDE">
      <w:pPr>
        <w:pStyle w:val="43"/>
        <w:ind w:firstLine="480"/>
        <w:jc w:val="left"/>
      </w:pPr>
      <w:r>
        <w:t>6</w:t>
      </w:r>
      <w:r>
        <w:rPr>
          <w:rFonts w:hint="eastAsia"/>
        </w:rPr>
        <w:t>、最低报价不能作为中标的保证。</w:t>
      </w:r>
    </w:p>
    <w:p w14:paraId="2F50B927">
      <w:pPr>
        <w:pStyle w:val="47"/>
      </w:pPr>
      <w:bookmarkStart w:id="19" w:name="_Toc28926"/>
      <w:r>
        <w:rPr>
          <w:rFonts w:hint="eastAsia"/>
        </w:rPr>
        <w:t>（五）投标保证金</w:t>
      </w:r>
      <w:bookmarkEnd w:id="19"/>
    </w:p>
    <w:p w14:paraId="1B70F641">
      <w:pPr>
        <w:pStyle w:val="43"/>
        <w:ind w:firstLine="480"/>
      </w:pPr>
      <w:r>
        <w:rPr>
          <w:rFonts w:hint="eastAsia"/>
        </w:rPr>
        <w:t>本项目不缴纳保证金。</w:t>
      </w:r>
    </w:p>
    <w:p w14:paraId="664A19C1">
      <w:pPr>
        <w:pStyle w:val="47"/>
      </w:pPr>
      <w:bookmarkStart w:id="20" w:name="_Toc18093"/>
      <w:r>
        <w:rPr>
          <w:rFonts w:hint="eastAsia"/>
        </w:rPr>
        <w:t>（六）投标文件</w:t>
      </w:r>
      <w:r>
        <w:t>的递交</w:t>
      </w:r>
      <w:bookmarkEnd w:id="20"/>
    </w:p>
    <w:p w14:paraId="27CE06D9">
      <w:pPr>
        <w:pStyle w:val="43"/>
        <w:ind w:firstLine="480"/>
      </w:pPr>
      <w:r>
        <w:rPr>
          <w:rFonts w:hint="eastAsia"/>
        </w:rPr>
        <w:t>1、</w:t>
      </w:r>
      <w:r>
        <w:t>在</w:t>
      </w:r>
      <w:r>
        <w:rPr>
          <w:rFonts w:hint="eastAsia"/>
        </w:rPr>
        <w:t>投标截止时间前30分钟</w:t>
      </w:r>
      <w:r>
        <w:t>递交投标文件</w:t>
      </w:r>
      <w:r>
        <w:rPr>
          <w:rFonts w:hint="eastAsia"/>
        </w:rPr>
        <w:t>。</w:t>
      </w:r>
    </w:p>
    <w:p w14:paraId="593B28E0">
      <w:pPr>
        <w:pStyle w:val="43"/>
        <w:ind w:firstLine="480"/>
      </w:pPr>
      <w:r>
        <w:t>2</w:t>
      </w:r>
      <w:r>
        <w:rPr>
          <w:rFonts w:hint="eastAsia"/>
        </w:rPr>
        <w:t>、在投标截止时间以后送达的，采购方将拒绝接收。</w:t>
      </w:r>
    </w:p>
    <w:p w14:paraId="3CFD49C5">
      <w:pPr>
        <w:pStyle w:val="47"/>
      </w:pPr>
      <w:bookmarkStart w:id="21" w:name="_Toc26312"/>
      <w:r>
        <w:rPr>
          <w:rFonts w:hint="eastAsia"/>
        </w:rPr>
        <w:t>（七）分包</w:t>
      </w:r>
      <w:r>
        <w:t>的规定</w:t>
      </w:r>
      <w:bookmarkEnd w:id="21"/>
    </w:p>
    <w:p w14:paraId="2D454A2A">
      <w:pPr>
        <w:pStyle w:val="43"/>
        <w:ind w:firstLine="480"/>
      </w:pPr>
      <w:r>
        <w:rPr>
          <w:rFonts w:hint="eastAsia"/>
        </w:rPr>
        <w:t>本项目</w:t>
      </w:r>
      <w:r>
        <w:t>不允许分包。</w:t>
      </w:r>
    </w:p>
    <w:p w14:paraId="76832F85">
      <w:pPr>
        <w:pStyle w:val="47"/>
      </w:pPr>
      <w:bookmarkStart w:id="22" w:name="_Toc27184"/>
      <w:r>
        <w:rPr>
          <w:rFonts w:hint="eastAsia"/>
        </w:rPr>
        <w:t>（八）恶意串通等行为的处理及串通投标情形的认定</w:t>
      </w:r>
      <w:bookmarkEnd w:id="22"/>
    </w:p>
    <w:p w14:paraId="091D8CCF">
      <w:pPr>
        <w:pStyle w:val="43"/>
        <w:ind w:firstLine="480"/>
      </w:pPr>
      <w:r>
        <w:rPr>
          <w:rFonts w:hint="eastAsia"/>
        </w:rPr>
        <w:t>1、投标人应当遵循公平竞争的原则，不得恶意串通，不得妨碍其他投标人的竞争行为，不得损害采购人或者其他投标人的合法权益。在评标过程中发现投标人有上述情形的，应当认定其投标无效。</w:t>
      </w:r>
    </w:p>
    <w:p w14:paraId="638FAC4A">
      <w:pPr>
        <w:pStyle w:val="43"/>
        <w:ind w:firstLine="480"/>
      </w:pPr>
      <w:r>
        <w:rPr>
          <w:rFonts w:hint="eastAsia"/>
        </w:rPr>
        <w:t>2、有下列情形之一的，视为投标人串通投标，其投标无效：</w:t>
      </w:r>
    </w:p>
    <w:p w14:paraId="2EC206CE">
      <w:pPr>
        <w:pStyle w:val="43"/>
        <w:ind w:firstLine="319" w:firstLineChars="133"/>
        <w:jc w:val="left"/>
      </w:pPr>
      <w:r>
        <w:rPr>
          <w:rFonts w:hint="eastAsia"/>
        </w:rPr>
        <w:t>（1）不同投标人的投标文件由同一单位或者个人编制；</w:t>
      </w:r>
    </w:p>
    <w:p w14:paraId="7CE27396">
      <w:pPr>
        <w:pStyle w:val="43"/>
        <w:ind w:firstLine="319" w:firstLineChars="133"/>
        <w:jc w:val="left"/>
      </w:pPr>
      <w:r>
        <w:rPr>
          <w:rFonts w:hint="eastAsia"/>
        </w:rPr>
        <w:t>（2）不同投标人委托同一单位或者个人办理投标事宜；</w:t>
      </w:r>
    </w:p>
    <w:p w14:paraId="681833C4">
      <w:pPr>
        <w:pStyle w:val="43"/>
        <w:ind w:firstLine="319" w:firstLineChars="133"/>
        <w:jc w:val="left"/>
      </w:pPr>
      <w:r>
        <w:rPr>
          <w:rFonts w:hint="eastAsia"/>
        </w:rPr>
        <w:t>（3）不同投标人的投标文件载明的项目管理成员或者联系人员为同一人；</w:t>
      </w:r>
    </w:p>
    <w:p w14:paraId="6D27DF98">
      <w:pPr>
        <w:pStyle w:val="43"/>
        <w:ind w:firstLine="319" w:firstLineChars="133"/>
        <w:jc w:val="left"/>
      </w:pPr>
      <w:r>
        <w:rPr>
          <w:rFonts w:hint="eastAsia"/>
        </w:rPr>
        <w:t>（4）不同投标人的投标文件异常一致或者投标报价呈规律性差异；</w:t>
      </w:r>
    </w:p>
    <w:p w14:paraId="0359DD95">
      <w:pPr>
        <w:pStyle w:val="43"/>
        <w:ind w:firstLine="319" w:firstLineChars="133"/>
        <w:jc w:val="left"/>
      </w:pPr>
      <w:r>
        <w:rPr>
          <w:rFonts w:hint="eastAsia"/>
        </w:rPr>
        <w:t>（5）不同投标人的投标文件相互混装；</w:t>
      </w:r>
    </w:p>
    <w:p w14:paraId="224C5AD2">
      <w:pPr>
        <w:pStyle w:val="43"/>
        <w:ind w:firstLine="319" w:firstLineChars="133"/>
        <w:jc w:val="left"/>
      </w:pPr>
      <w:r>
        <w:rPr>
          <w:rFonts w:hint="eastAsia"/>
        </w:rPr>
        <w:t>（6）不同投标人的投标保证金从同一单位或者个人的账户转出。</w:t>
      </w:r>
    </w:p>
    <w:p w14:paraId="27A847D9">
      <w:pPr>
        <w:pStyle w:val="49"/>
      </w:pPr>
      <w:bookmarkStart w:id="23" w:name="_Toc7999"/>
      <w:r>
        <w:rPr>
          <w:rFonts w:hint="eastAsia"/>
        </w:rPr>
        <w:t>三、开 标</w:t>
      </w:r>
      <w:bookmarkEnd w:id="23"/>
    </w:p>
    <w:p w14:paraId="2EC79269">
      <w:pPr>
        <w:pStyle w:val="47"/>
      </w:pPr>
      <w:bookmarkStart w:id="24" w:name="_Toc17129"/>
      <w:r>
        <w:rPr>
          <w:rFonts w:hint="eastAsia"/>
        </w:rPr>
        <w:t>（一）开标程序</w:t>
      </w:r>
      <w:bookmarkEnd w:id="24"/>
    </w:p>
    <w:p w14:paraId="5329C6F2">
      <w:pPr>
        <w:pStyle w:val="43"/>
        <w:ind w:firstLine="480"/>
      </w:pPr>
      <w:r>
        <w:rPr>
          <w:rFonts w:hint="eastAsia"/>
        </w:rPr>
        <w:t>1、检查证件。按申请人签到先后顺序，由工作人员对照申请人递交的申请书封面标注的内容（法定代表人或委托代理人名称），当场查验申请人法定代表人或委托代理人身份证原件。</w:t>
      </w:r>
    </w:p>
    <w:p w14:paraId="75D3FD31">
      <w:pPr>
        <w:pStyle w:val="43"/>
        <w:ind w:firstLine="480"/>
      </w:pPr>
      <w:r>
        <w:rPr>
          <w:rFonts w:hint="eastAsia"/>
        </w:rPr>
        <w:t>2、检查申请文件袋。申请人现场检查申请书袋密封签章情况并签字确认。申请书袋未按要求密封签章的，视为无效申请。</w:t>
      </w:r>
    </w:p>
    <w:p w14:paraId="093433A6">
      <w:pPr>
        <w:pStyle w:val="43"/>
        <w:ind w:firstLine="480"/>
      </w:pPr>
      <w:r>
        <w:rPr>
          <w:rFonts w:hint="eastAsia"/>
        </w:rPr>
        <w:t>3、唱标。申请书经密封检查确认无误后，当众拆封，按抽签顺序逐个宣读申请人名称、报价。申请报价不符合规定要求的为无效申请。</w:t>
      </w:r>
    </w:p>
    <w:p w14:paraId="1CD6CE62">
      <w:pPr>
        <w:pStyle w:val="43"/>
        <w:ind w:firstLine="480"/>
      </w:pPr>
      <w:r>
        <w:rPr>
          <w:rFonts w:hint="eastAsia"/>
        </w:rPr>
        <w:t>4、符合性审查。对申请书的有效性、完整性以及申请书对遴选文件的响应程度进行符合性审查。</w:t>
      </w:r>
    </w:p>
    <w:p w14:paraId="066DBE2B">
      <w:pPr>
        <w:pStyle w:val="43"/>
        <w:ind w:firstLine="480"/>
      </w:pPr>
      <w:r>
        <w:rPr>
          <w:rFonts w:hint="eastAsia"/>
        </w:rPr>
        <w:t>5、澄清有关问题。对申请书中含义不明确、同类问题表述不一致或者有明显文字和计算错误的内容，要求申请人作出必要的澄清、说明或者纠正。申请人的澄清、说明或者补正应当采用书面形式，由其法定代表人或其委托代理人签字。</w:t>
      </w:r>
    </w:p>
    <w:p w14:paraId="6D045C31">
      <w:pPr>
        <w:pStyle w:val="43"/>
        <w:ind w:firstLine="480"/>
      </w:pPr>
      <w:r>
        <w:rPr>
          <w:rFonts w:hint="eastAsia"/>
        </w:rPr>
        <w:t>6、开标小组成员对有效申请书进行评审，根据报价排名推荐1名中标候选人。</w:t>
      </w:r>
    </w:p>
    <w:p w14:paraId="63DB2B75">
      <w:pPr>
        <w:pStyle w:val="43"/>
        <w:ind w:firstLine="480"/>
      </w:pPr>
      <w:r>
        <w:rPr>
          <w:rFonts w:hint="eastAsia"/>
        </w:rPr>
        <w:t>上述程序，采购人根据实际情况，有权在开标现场临时调整。</w:t>
      </w:r>
    </w:p>
    <w:p w14:paraId="1654CEF3">
      <w:pPr>
        <w:pStyle w:val="47"/>
      </w:pPr>
      <w:bookmarkStart w:id="25" w:name="_Toc19799"/>
      <w:r>
        <w:rPr>
          <w:rFonts w:hint="eastAsia"/>
        </w:rPr>
        <w:t>（二）申请无效</w:t>
      </w:r>
      <w:bookmarkEnd w:id="25"/>
    </w:p>
    <w:p w14:paraId="17D00D87">
      <w:pPr>
        <w:pStyle w:val="43"/>
        <w:ind w:firstLine="480"/>
      </w:pPr>
      <w:r>
        <w:rPr>
          <w:rFonts w:hint="eastAsia"/>
        </w:rPr>
        <w:t>1、申请人所提交的申请书未对遴选文件作实质性响应，或出现下列情况之一的，均按无效申请处理：</w:t>
      </w:r>
    </w:p>
    <w:p w14:paraId="2166F546">
      <w:pPr>
        <w:pStyle w:val="43"/>
        <w:ind w:firstLine="480"/>
      </w:pPr>
      <w:r>
        <w:rPr>
          <w:rFonts w:hint="eastAsia"/>
        </w:rPr>
        <w:t>（1）资格证明文件不全的。</w:t>
      </w:r>
    </w:p>
    <w:p w14:paraId="5E6AD83C">
      <w:pPr>
        <w:pStyle w:val="43"/>
        <w:ind w:firstLine="480"/>
      </w:pPr>
      <w:r>
        <w:rPr>
          <w:rFonts w:hint="eastAsia"/>
        </w:rPr>
        <w:t>（2）申请书没有法定代表人签字或委托代理人没有法定代表人签署委托书的。</w:t>
      </w:r>
    </w:p>
    <w:p w14:paraId="3BC220C6">
      <w:pPr>
        <w:pStyle w:val="43"/>
        <w:ind w:firstLine="480"/>
      </w:pPr>
      <w:r>
        <w:rPr>
          <w:rFonts w:hint="eastAsia"/>
        </w:rPr>
        <w:t>（3）文件编制不符合有关要求的。</w:t>
      </w:r>
    </w:p>
    <w:p w14:paraId="0C13AAD9">
      <w:pPr>
        <w:pStyle w:val="43"/>
        <w:ind w:firstLine="480"/>
      </w:pPr>
      <w:r>
        <w:rPr>
          <w:rFonts w:hint="eastAsia"/>
        </w:rPr>
        <w:t>（4）文件正本未用不褪色的墨水书写或打印的。</w:t>
      </w:r>
    </w:p>
    <w:p w14:paraId="0ED3A722">
      <w:pPr>
        <w:pStyle w:val="43"/>
        <w:ind w:firstLine="480"/>
      </w:pPr>
      <w:r>
        <w:rPr>
          <w:rFonts w:hint="eastAsia"/>
        </w:rPr>
        <w:t>（5）文件修改处没有法定代表人或委托代理人签名并加盖公章的。</w:t>
      </w:r>
    </w:p>
    <w:p w14:paraId="39F01B5A">
      <w:pPr>
        <w:pStyle w:val="43"/>
        <w:ind w:firstLine="480"/>
      </w:pPr>
      <w:r>
        <w:rPr>
          <w:rFonts w:hint="eastAsia"/>
        </w:rPr>
        <w:t>（6）申请文件袋封贴处没有按要求密封签章的。</w:t>
      </w:r>
    </w:p>
    <w:p w14:paraId="5739C950">
      <w:pPr>
        <w:pStyle w:val="43"/>
        <w:ind w:firstLine="480"/>
      </w:pPr>
      <w:r>
        <w:rPr>
          <w:rFonts w:hint="eastAsia"/>
        </w:rPr>
        <w:t>2、申请书字迹潦草、表达不清的，可能会被认定为无效。</w:t>
      </w:r>
    </w:p>
    <w:p w14:paraId="4269AF24">
      <w:pPr>
        <w:pStyle w:val="43"/>
        <w:ind w:firstLine="480"/>
      </w:pPr>
      <w:r>
        <w:t>3</w:t>
      </w:r>
      <w:r>
        <w:rPr>
          <w:rFonts w:hint="eastAsia"/>
        </w:rPr>
        <w:t>、申请人提交的申请书内容不真实，或超出其经营范围投标，或出现其他违反国家法律、法规行为的，视为无效申请。</w:t>
      </w:r>
    </w:p>
    <w:p w14:paraId="20B2A4F5">
      <w:pPr>
        <w:pStyle w:val="43"/>
        <w:ind w:firstLine="480"/>
      </w:pPr>
      <w:r>
        <w:t>4</w:t>
      </w:r>
      <w:r>
        <w:rPr>
          <w:rFonts w:hint="eastAsia"/>
        </w:rPr>
        <w:t>、</w:t>
      </w:r>
      <w:r>
        <w:t>申请人报价超出采购人预算的，视为</w:t>
      </w:r>
      <w:r>
        <w:rPr>
          <w:rFonts w:hint="eastAsia"/>
        </w:rPr>
        <w:t>无效</w:t>
      </w:r>
      <w:r>
        <w:t>申请</w:t>
      </w:r>
    </w:p>
    <w:p w14:paraId="35BF7D8F">
      <w:pPr>
        <w:pStyle w:val="49"/>
      </w:pPr>
      <w:bookmarkStart w:id="26" w:name="_Toc21498"/>
      <w:r>
        <w:t>四</w:t>
      </w:r>
      <w:r>
        <w:rPr>
          <w:rFonts w:hint="eastAsia"/>
        </w:rPr>
        <w:t>、评 标</w:t>
      </w:r>
      <w:bookmarkEnd w:id="26"/>
    </w:p>
    <w:p w14:paraId="2847AC85">
      <w:pPr>
        <w:pStyle w:val="43"/>
        <w:ind w:firstLine="480"/>
      </w:pPr>
      <w:r>
        <w:rPr>
          <w:rFonts w:hint="eastAsia"/>
        </w:rPr>
        <w:t>1、公开招标采购项目开标结束后，采购人或者采购代理机构应当依法对投标人的资格进行审查。合格投标人不足3家的，不得评标。</w:t>
      </w:r>
    </w:p>
    <w:p w14:paraId="65E4CC36">
      <w:pPr>
        <w:pStyle w:val="43"/>
        <w:ind w:firstLine="480"/>
      </w:pPr>
      <w:r>
        <w:rPr>
          <w:rFonts w:hint="eastAsia"/>
        </w:rPr>
        <w:t>2、招标小组应当对符合资格的投标人的投标文件进行符合性审查，以确定其是否满足招标文件的实质性要求。</w:t>
      </w:r>
    </w:p>
    <w:p w14:paraId="1534801A">
      <w:pPr>
        <w:pStyle w:val="43"/>
        <w:ind w:firstLine="480"/>
      </w:pPr>
      <w:r>
        <w:rPr>
          <w:rFonts w:hint="eastAsia"/>
        </w:rPr>
        <w:t>3、招标小组应当按照招标文件中规定的评标方法和标准，对符合性审查合格的投标文件进行商务和技术评估，综合比较与评价。</w:t>
      </w:r>
    </w:p>
    <w:p w14:paraId="175EF81F">
      <w:pPr>
        <w:pStyle w:val="43"/>
        <w:ind w:firstLine="480"/>
      </w:pPr>
      <w:r>
        <w:rPr>
          <w:rFonts w:hint="eastAsia"/>
        </w:rPr>
        <w:t>4、采用综合评分法的，评标结果按评审后得分由高到低顺序排列。得分相同的，按投标报价由低到高顺序排列。得分且投标报价相同的，按服务响应优劣顺序排列。得分、投标报价、服务响应优劣均相同的，由评标委员会随机抽取确定排序。</w:t>
      </w:r>
    </w:p>
    <w:p w14:paraId="2A6F56E1">
      <w:pPr>
        <w:pStyle w:val="43"/>
        <w:ind w:firstLine="480"/>
      </w:pPr>
      <w:r>
        <w:rPr>
          <w:rFonts w:hint="eastAsia"/>
        </w:rPr>
        <w:t>5、采用最低评标价法的，评标结果按投标报价由低到高顺序排列。投标文件满足招标文件全部实质性要求且投标报价最低的投标人为排名第一的中标候选人。投标报价相同的，按服务响应优劣顺序排列。投标报价、服务响应优劣等均相同的，由评标委员会随机抽取确定排序。</w:t>
      </w:r>
    </w:p>
    <w:p w14:paraId="204A7DBC">
      <w:pPr>
        <w:pStyle w:val="43"/>
        <w:ind w:firstLine="480"/>
      </w:pPr>
      <w:r>
        <w:rPr>
          <w:rFonts w:hint="eastAsia"/>
        </w:rPr>
        <w:t>6、评标委员会根据全体评标成员签字的原始评标记录和评标结果编写评标报告。</w:t>
      </w:r>
    </w:p>
    <w:p w14:paraId="583DFE53">
      <w:pPr>
        <w:pStyle w:val="43"/>
        <w:ind w:firstLine="480"/>
      </w:pPr>
      <w:r>
        <w:rPr>
          <w:rFonts w:hint="eastAsia"/>
        </w:rPr>
        <w:t>7、评标方法与评标标准：详见“第六章 评标方法与评标标准”</w:t>
      </w:r>
    </w:p>
    <w:p w14:paraId="44D25418">
      <w:pPr>
        <w:pStyle w:val="49"/>
      </w:pPr>
      <w:bookmarkStart w:id="27" w:name="_Toc31676"/>
      <w:r>
        <w:rPr>
          <w:rFonts w:hint="eastAsia"/>
        </w:rPr>
        <w:t>五、中标与合同</w:t>
      </w:r>
      <w:bookmarkEnd w:id="27"/>
    </w:p>
    <w:p w14:paraId="519B3113">
      <w:pPr>
        <w:pStyle w:val="43"/>
        <w:ind w:firstLine="480"/>
      </w:pPr>
      <w:r>
        <w:rPr>
          <w:rFonts w:hint="eastAsia"/>
        </w:rPr>
        <w:t>1、开标结果在本项目公告媒体上发布，公示期为</w:t>
      </w:r>
      <w:r>
        <w:rPr>
          <w:rFonts w:hint="eastAsia"/>
          <w:lang w:val="en-US" w:eastAsia="zh-CN"/>
        </w:rPr>
        <w:t>3</w:t>
      </w:r>
      <w:r>
        <w:rPr>
          <w:rFonts w:hint="eastAsia"/>
        </w:rPr>
        <w:t>个自然日。</w:t>
      </w:r>
    </w:p>
    <w:p w14:paraId="35FBA8A5">
      <w:pPr>
        <w:pStyle w:val="43"/>
        <w:ind w:firstLine="480"/>
      </w:pPr>
      <w:r>
        <w:t>2</w:t>
      </w:r>
      <w:r>
        <w:rPr>
          <w:rFonts w:hint="eastAsia"/>
        </w:rPr>
        <w:t>、采购人与中选人应当在中选通知书发出之日起15日内，按照本招标文件和中选人申请书签订合同。</w:t>
      </w:r>
    </w:p>
    <w:p w14:paraId="30B1DCC4">
      <w:pPr>
        <w:pStyle w:val="43"/>
        <w:ind w:firstLine="480"/>
      </w:pPr>
      <w:r>
        <w:rPr>
          <w:rFonts w:hint="eastAsia"/>
        </w:rPr>
        <w:t>3、履约保证金：</w:t>
      </w:r>
      <w:r>
        <w:t>按甲方要求</w:t>
      </w:r>
      <w:r>
        <w:rPr>
          <w:rFonts w:hint="eastAsia"/>
          <w:lang w:val="en-US" w:eastAsia="zh-Hans"/>
        </w:rPr>
        <w:t>缴纳</w:t>
      </w:r>
      <w:r>
        <w:rPr>
          <w:rFonts w:hint="eastAsia"/>
        </w:rPr>
        <w:t>。</w:t>
      </w:r>
    </w:p>
    <w:p w14:paraId="29C11459">
      <w:pPr>
        <w:pStyle w:val="43"/>
        <w:ind w:firstLine="480"/>
      </w:pPr>
      <w:r>
        <w:rPr>
          <w:rFonts w:hint="eastAsia"/>
        </w:rPr>
        <w:t>4、中标人应按中标通知书规定的时间、地点与采购人签订合同，否则按开标后撤回投标处理。</w:t>
      </w:r>
    </w:p>
    <w:p w14:paraId="0E752797">
      <w:pPr>
        <w:pStyle w:val="43"/>
        <w:ind w:firstLine="480"/>
      </w:pPr>
      <w:r>
        <w:rPr>
          <w:rFonts w:hint="eastAsia"/>
        </w:rPr>
        <w:t>5、招标文件、投标文件及评标过程中有关澄清文件均为签订合同的依据。</w:t>
      </w:r>
    </w:p>
    <w:p w14:paraId="24C06AB0">
      <w:pPr>
        <w:pStyle w:val="43"/>
        <w:ind w:firstLine="480"/>
      </w:pPr>
      <w:r>
        <w:rPr>
          <w:rFonts w:hint="eastAsia"/>
        </w:rPr>
        <w:t>6、中标通知书是合同的一个组成部分。</w:t>
      </w:r>
    </w:p>
    <w:p w14:paraId="7632BD20">
      <w:pPr>
        <w:pStyle w:val="43"/>
        <w:ind w:firstLine="480"/>
      </w:pPr>
      <w:r>
        <w:rPr>
          <w:rFonts w:hint="eastAsia"/>
        </w:rPr>
        <w:t>7、采购人与中标人应当根据合同的约定依法履行合同义务。政府采购合同的履行、违约责任和解决争议的方法等适用《中华人民共和国合同法》。</w:t>
      </w:r>
    </w:p>
    <w:p w14:paraId="0F651FA0">
      <w:pPr>
        <w:pStyle w:val="43"/>
        <w:ind w:firstLine="480"/>
      </w:pPr>
      <w:r>
        <w:t>8</w:t>
      </w:r>
      <w:r>
        <w:rPr>
          <w:rFonts w:hint="eastAsia"/>
        </w:rPr>
        <w:t>、采购人应当加强对中标人的履约管理，并按照采购合同约定，及时向中标人支付采购资金。对于中标人违反采购合同约定的行为，采购人应当及时处理，依法追究其违约责任。</w:t>
      </w:r>
    </w:p>
    <w:p w14:paraId="263C1CA4">
      <w:pPr>
        <w:pStyle w:val="43"/>
        <w:ind w:firstLine="480"/>
      </w:pPr>
      <w:r>
        <w:t>9</w:t>
      </w:r>
      <w:r>
        <w:rPr>
          <w:rFonts w:hint="eastAsia"/>
        </w:rPr>
        <w:t>、合同履行中，采购人需追加与合同标的相同的服务的，在不改变合同其他条款的前提下，可以与中标人协商签订补充合同。</w:t>
      </w:r>
    </w:p>
    <w:p w14:paraId="23A7B29F">
      <w:pPr>
        <w:pStyle w:val="43"/>
        <w:ind w:firstLine="480"/>
      </w:pPr>
      <w:r>
        <w:t>10</w:t>
      </w:r>
      <w:r>
        <w:rPr>
          <w:rFonts w:hint="eastAsia"/>
        </w:rPr>
        <w:t>、中标人拒绝与采购人签订合同的，采购人可以按照评审报告推荐的中标候选人名单排序，确定下一候选人为中标人，也可以重新开展政府采购活动；拒绝签订政府采购合同的中标人不得参加该项目重新开展的采购活动，并不予退还其交纳的投标保证金。</w:t>
      </w:r>
    </w:p>
    <w:p w14:paraId="7C5F0174">
      <w:pPr>
        <w:pStyle w:val="49"/>
      </w:pPr>
      <w:bookmarkStart w:id="28" w:name="_Toc2343"/>
      <w:r>
        <w:rPr>
          <w:rFonts w:hint="eastAsia"/>
        </w:rPr>
        <w:t>六、其他事项</w:t>
      </w:r>
      <w:bookmarkEnd w:id="28"/>
    </w:p>
    <w:p w14:paraId="5B6D8DC9">
      <w:pPr>
        <w:pStyle w:val="43"/>
        <w:ind w:firstLine="480"/>
      </w:pPr>
      <w:r>
        <w:t>1</w:t>
      </w:r>
      <w:r>
        <w:rPr>
          <w:rFonts w:hint="eastAsia"/>
        </w:rPr>
        <w:t>、因本招标文件中可能存有的某些内容所引起的理解歧义可能导致的申请人所作出的不准确判断所带来的一切结果，采购人不承诺承担任何责任。</w:t>
      </w:r>
    </w:p>
    <w:p w14:paraId="33BA9B30">
      <w:pPr>
        <w:pStyle w:val="43"/>
        <w:ind w:firstLine="480"/>
      </w:pPr>
      <w:r>
        <w:rPr>
          <w:rFonts w:hint="eastAsia"/>
        </w:rPr>
        <w:t>2、采购人不承担核查资料真实性的义务。由于申请人提供虚假的材料，导致招标项目无法顺利进行或者失败，由此造成的后果及经济损失，由申请人承担全部责任。</w:t>
      </w:r>
    </w:p>
    <w:p w14:paraId="12FAFD2D">
      <w:pPr>
        <w:pStyle w:val="43"/>
        <w:ind w:firstLine="480"/>
        <w:sectPr>
          <w:footerReference r:id="rId7" w:type="first"/>
          <w:pgSz w:w="11907" w:h="16840"/>
          <w:pgMar w:top="1418" w:right="1418" w:bottom="1418" w:left="1814" w:header="1134" w:footer="851" w:gutter="0"/>
          <w:pgNumType w:fmt="numberInDash"/>
          <w:cols w:space="425" w:num="1"/>
          <w:titlePg/>
          <w:docGrid w:type="linesAndChars" w:linePitch="312" w:charSpace="0"/>
        </w:sectPr>
      </w:pPr>
      <w:r>
        <w:rPr>
          <w:rFonts w:hint="eastAsia"/>
        </w:rPr>
        <w:t>3、采购人无义务向未中选申请人退还申请文件。</w:t>
      </w:r>
    </w:p>
    <w:p w14:paraId="3C3B635F">
      <w:pPr>
        <w:pStyle w:val="43"/>
        <w:ind w:firstLine="643"/>
        <w:jc w:val="center"/>
        <w:rPr>
          <w:rFonts w:hint="eastAsia" w:ascii="Times New Roman" w:hAnsi="Times New Roman" w:eastAsia="宋体" w:cstheme="minorBidi"/>
          <w:b/>
          <w:bCs/>
          <w:kern w:val="44"/>
          <w:sz w:val="30"/>
          <w:szCs w:val="44"/>
          <w:lang w:val="en-US" w:eastAsia="zh-CN" w:bidi="ar-SA"/>
        </w:rPr>
      </w:pPr>
      <w:r>
        <w:rPr>
          <w:rFonts w:hint="eastAsia" w:ascii="Times New Roman" w:hAnsi="Times New Roman" w:eastAsia="宋体" w:cstheme="minorBidi"/>
          <w:b/>
          <w:bCs/>
          <w:kern w:val="44"/>
          <w:sz w:val="30"/>
          <w:szCs w:val="44"/>
          <w:lang w:val="en-US" w:eastAsia="zh-CN" w:bidi="ar-SA"/>
        </w:rPr>
        <w:t>第三章编制说明</w:t>
      </w:r>
    </w:p>
    <w:p w14:paraId="575923F2">
      <w:pPr>
        <w:pStyle w:val="43"/>
        <w:ind w:firstLine="480"/>
        <w:rPr>
          <w:szCs w:val="24"/>
        </w:rPr>
      </w:pPr>
    </w:p>
    <w:p w14:paraId="51D52981">
      <w:pPr>
        <w:pStyle w:val="43"/>
        <w:ind w:firstLine="480"/>
        <w:rPr>
          <w:szCs w:val="24"/>
        </w:rPr>
      </w:pPr>
      <w:r>
        <w:rPr>
          <w:rFonts w:hint="eastAsia"/>
          <w:szCs w:val="24"/>
        </w:rPr>
        <w:t>一、申请人在填写本申请书时必须认真、详细、准确，申请书中所承诺的内容均为中选后双方签订合同的依据。</w:t>
      </w:r>
    </w:p>
    <w:p w14:paraId="229C668A">
      <w:pPr>
        <w:pStyle w:val="43"/>
        <w:ind w:firstLine="480"/>
        <w:rPr>
          <w:szCs w:val="24"/>
        </w:rPr>
      </w:pPr>
      <w:r>
        <w:rPr>
          <w:rFonts w:hint="eastAsia"/>
          <w:szCs w:val="24"/>
        </w:rPr>
        <w:t>二、请严格按本格式编制申请书，</w:t>
      </w:r>
      <w:r>
        <w:rPr>
          <w:rFonts w:hint="eastAsia"/>
          <w:szCs w:val="24"/>
          <w:lang w:val="en-US" w:eastAsia="zh-Hans"/>
        </w:rPr>
        <w:t>若</w:t>
      </w:r>
      <w:r>
        <w:rPr>
          <w:rFonts w:hint="eastAsia" w:cs="宋体"/>
        </w:rPr>
        <w:t>由于装订原因造成材料的散落、丢失等，责任由申请人承担。</w:t>
      </w:r>
    </w:p>
    <w:p w14:paraId="4B86C912">
      <w:pPr>
        <w:pStyle w:val="43"/>
        <w:ind w:firstLine="480"/>
      </w:pPr>
    </w:p>
    <w:p w14:paraId="64974050">
      <w:pPr>
        <w:pStyle w:val="43"/>
        <w:ind w:firstLine="480"/>
      </w:pPr>
    </w:p>
    <w:p w14:paraId="17C627EE">
      <w:pPr>
        <w:pStyle w:val="43"/>
        <w:ind w:firstLine="643"/>
        <w:jc w:val="center"/>
        <w:rPr>
          <w:b/>
          <w:sz w:val="32"/>
          <w:szCs w:val="24"/>
        </w:rPr>
      </w:pPr>
      <w:r>
        <w:rPr>
          <w:rFonts w:hint="eastAsia"/>
          <w:b/>
          <w:sz w:val="32"/>
          <w:szCs w:val="24"/>
        </w:rPr>
        <w:t>目录（自拟）</w:t>
      </w:r>
    </w:p>
    <w:p w14:paraId="65D75913">
      <w:pPr>
        <w:pStyle w:val="43"/>
        <w:ind w:firstLine="0" w:firstLineChars="0"/>
        <w:rPr>
          <w:b/>
          <w:szCs w:val="24"/>
        </w:rPr>
      </w:pPr>
    </w:p>
    <w:p w14:paraId="176739D5">
      <w:pPr>
        <w:pStyle w:val="43"/>
        <w:ind w:firstLine="0" w:firstLineChars="0"/>
        <w:rPr>
          <w:b/>
          <w:szCs w:val="24"/>
        </w:rPr>
      </w:pPr>
    </w:p>
    <w:p w14:paraId="2D556FBD">
      <w:pPr>
        <w:pStyle w:val="43"/>
        <w:numPr>
          <w:ilvl w:val="0"/>
          <w:numId w:val="2"/>
        </w:numPr>
        <w:ind w:firstLineChars="0"/>
        <w:rPr>
          <w:b/>
          <w:szCs w:val="24"/>
        </w:rPr>
      </w:pPr>
      <w:r>
        <w:rPr>
          <w:b/>
          <w:szCs w:val="24"/>
        </w:rPr>
        <w:t>法定代表人身份证明书</w:t>
      </w:r>
    </w:p>
    <w:p w14:paraId="225231B8">
      <w:pPr>
        <w:pStyle w:val="43"/>
        <w:ind w:firstLine="0" w:firstLineChars="0"/>
        <w:rPr>
          <w:b/>
          <w:szCs w:val="24"/>
        </w:rPr>
      </w:pPr>
      <w:r>
        <w:rPr>
          <w:rFonts w:hint="eastAsia"/>
          <w:szCs w:val="24"/>
        </w:rPr>
        <w:t>南昌大学第一附属医院赣江新区医院（赣江新区人民医院）：</w:t>
      </w:r>
    </w:p>
    <w:p w14:paraId="200090FC">
      <w:pPr>
        <w:pStyle w:val="43"/>
        <w:ind w:firstLine="480"/>
        <w:rPr>
          <w:szCs w:val="24"/>
          <w:u w:val="single"/>
        </w:rPr>
      </w:pPr>
      <w:r>
        <w:rPr>
          <w:rFonts w:hint="eastAsia"/>
          <w:szCs w:val="24"/>
        </w:rPr>
        <w:t>申请人名称：</w:t>
      </w:r>
      <w:r>
        <w:rPr>
          <w:rFonts w:hint="eastAsia"/>
          <w:szCs w:val="24"/>
          <w:u w:val="single"/>
        </w:rPr>
        <w:t xml:space="preserve">                      </w:t>
      </w:r>
      <w:r>
        <w:rPr>
          <w:rFonts w:hint="eastAsia"/>
          <w:szCs w:val="24"/>
        </w:rPr>
        <w:t xml:space="preserve">单位性质：  </w:t>
      </w:r>
      <w:r>
        <w:rPr>
          <w:rFonts w:hint="eastAsia"/>
          <w:szCs w:val="24"/>
          <w:u w:val="single"/>
        </w:rPr>
        <w:t xml:space="preserve">                                  </w:t>
      </w:r>
      <w:r>
        <w:rPr>
          <w:rFonts w:hint="eastAsia"/>
          <w:szCs w:val="24"/>
        </w:rPr>
        <w:t xml:space="preserve">                             </w:t>
      </w:r>
    </w:p>
    <w:p w14:paraId="334420F0">
      <w:pPr>
        <w:pStyle w:val="43"/>
        <w:ind w:firstLine="0" w:firstLineChars="0"/>
        <w:rPr>
          <w:szCs w:val="24"/>
          <w:u w:val="single"/>
        </w:rPr>
      </w:pPr>
      <w:r>
        <w:rPr>
          <w:rFonts w:hint="eastAsia"/>
          <w:szCs w:val="24"/>
        </w:rPr>
        <w:t>地址：</w:t>
      </w:r>
      <w:r>
        <w:rPr>
          <w:rFonts w:hint="eastAsia"/>
          <w:szCs w:val="24"/>
          <w:u w:val="single"/>
        </w:rPr>
        <w:t xml:space="preserve">                              </w:t>
      </w:r>
      <w:r>
        <w:rPr>
          <w:szCs w:val="24"/>
          <w:u w:val="single"/>
        </w:rPr>
        <w:t xml:space="preserve">  </w:t>
      </w:r>
      <w:r>
        <w:rPr>
          <w:rFonts w:hint="eastAsia"/>
          <w:szCs w:val="24"/>
        </w:rPr>
        <w:t>成立时间：</w:t>
      </w: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日</w:t>
      </w:r>
    </w:p>
    <w:p w14:paraId="4B6EF422">
      <w:pPr>
        <w:pStyle w:val="43"/>
        <w:ind w:firstLine="0" w:firstLineChars="0"/>
        <w:rPr>
          <w:szCs w:val="24"/>
        </w:rPr>
      </w:pPr>
      <w:r>
        <w:rPr>
          <w:rFonts w:hint="eastAsia"/>
          <w:szCs w:val="24"/>
        </w:rPr>
        <w:t>经营期限：</w:t>
      </w:r>
      <w:r>
        <w:rPr>
          <w:rFonts w:hint="eastAsia"/>
          <w:szCs w:val="24"/>
          <w:u w:val="single"/>
        </w:rPr>
        <w:t xml:space="preserve">              </w:t>
      </w:r>
      <w:r>
        <w:rPr>
          <w:rFonts w:hint="eastAsia"/>
          <w:szCs w:val="24"/>
        </w:rPr>
        <w:t>姓名：</w:t>
      </w:r>
      <w:r>
        <w:rPr>
          <w:rFonts w:hint="eastAsia"/>
          <w:szCs w:val="24"/>
          <w:u w:val="single"/>
        </w:rPr>
        <w:t xml:space="preserve">        </w:t>
      </w:r>
      <w:r>
        <w:rPr>
          <w:rFonts w:hint="eastAsia"/>
          <w:szCs w:val="24"/>
        </w:rPr>
        <w:t>性别：</w:t>
      </w:r>
      <w:r>
        <w:rPr>
          <w:rFonts w:hint="eastAsia"/>
          <w:szCs w:val="24"/>
          <w:u w:val="single"/>
        </w:rPr>
        <w:t xml:space="preserve">   </w:t>
      </w:r>
      <w:r>
        <w:rPr>
          <w:rFonts w:hint="eastAsia"/>
          <w:szCs w:val="24"/>
        </w:rPr>
        <w:t>年龄：</w:t>
      </w:r>
      <w:r>
        <w:rPr>
          <w:rFonts w:hint="eastAsia"/>
          <w:szCs w:val="24"/>
          <w:u w:val="single"/>
        </w:rPr>
        <w:t xml:space="preserve">     </w:t>
      </w:r>
      <w:r>
        <w:rPr>
          <w:rFonts w:hint="eastAsia"/>
          <w:szCs w:val="24"/>
        </w:rPr>
        <w:t>职务：</w:t>
      </w:r>
      <w:r>
        <w:rPr>
          <w:rFonts w:hint="eastAsia"/>
          <w:szCs w:val="24"/>
          <w:u w:val="single"/>
        </w:rPr>
        <w:t xml:space="preserve">   </w:t>
      </w:r>
      <w:r>
        <w:rPr>
          <w:szCs w:val="24"/>
          <w:u w:val="single"/>
        </w:rPr>
        <w:t xml:space="preserve"> </w:t>
      </w:r>
      <w:r>
        <w:rPr>
          <w:rFonts w:hint="eastAsia"/>
          <w:szCs w:val="24"/>
          <w:u w:val="single"/>
        </w:rPr>
        <w:t>　</w:t>
      </w:r>
      <w:r>
        <w:rPr>
          <w:rFonts w:hint="eastAsia"/>
          <w:szCs w:val="24"/>
        </w:rPr>
        <w:t>系</w:t>
      </w:r>
      <w:r>
        <w:rPr>
          <w:rFonts w:hint="eastAsia"/>
          <w:szCs w:val="24"/>
          <w:u w:val="single"/>
        </w:rPr>
        <w:t xml:space="preserve">                                 </w:t>
      </w:r>
      <w:r>
        <w:rPr>
          <w:rFonts w:hint="eastAsia"/>
          <w:szCs w:val="24"/>
        </w:rPr>
        <w:t>我公司的法定代表人，负责签署上述招标活动的一切文件，进行合同谈判，签署合同并处理与之有关的一切事务。</w:t>
      </w:r>
    </w:p>
    <w:p w14:paraId="5DD23939">
      <w:pPr>
        <w:pStyle w:val="43"/>
        <w:ind w:firstLine="480"/>
        <w:rPr>
          <w:szCs w:val="24"/>
        </w:rPr>
      </w:pPr>
      <w:r>
        <w:rPr>
          <w:rFonts w:hint="eastAsia"/>
          <w:szCs w:val="24"/>
        </w:rPr>
        <w:t>特此证明。</w:t>
      </w:r>
    </w:p>
    <w:p w14:paraId="196F4B58">
      <w:pPr>
        <w:pStyle w:val="43"/>
        <w:ind w:right="480" w:firstLine="3960" w:firstLineChars="1650"/>
        <w:rPr>
          <w:szCs w:val="24"/>
        </w:rPr>
      </w:pPr>
    </w:p>
    <w:p w14:paraId="2C7DEF96">
      <w:pPr>
        <w:pStyle w:val="43"/>
        <w:ind w:right="480" w:firstLine="3960" w:firstLineChars="1650"/>
        <w:rPr>
          <w:szCs w:val="24"/>
          <w:u w:val="single"/>
        </w:rPr>
      </w:pPr>
      <w:r>
        <w:rPr>
          <w:rFonts w:hint="eastAsia"/>
          <w:szCs w:val="24"/>
        </w:rPr>
        <w:t>申请人名称：（盖单位章）</w:t>
      </w:r>
      <w:r>
        <w:rPr>
          <w:rFonts w:hint="eastAsia"/>
          <w:szCs w:val="24"/>
          <w:u w:val="single"/>
        </w:rPr>
        <w:t>　　　　　　　　</w:t>
      </w:r>
    </w:p>
    <w:p w14:paraId="0E559845">
      <w:pPr>
        <w:pStyle w:val="43"/>
        <w:ind w:right="480" w:firstLine="4800" w:firstLineChars="2000"/>
        <w:rPr>
          <w:szCs w:val="24"/>
        </w:rPr>
      </w:pP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日</w:t>
      </w:r>
    </w:p>
    <w:p w14:paraId="3D8A7456">
      <w:pPr>
        <w:pStyle w:val="43"/>
        <w:ind w:firstLine="0" w:firstLineChars="0"/>
        <w:jc w:val="left"/>
        <w:rPr>
          <w:b/>
          <w:szCs w:val="24"/>
        </w:rPr>
      </w:pPr>
    </w:p>
    <w:p w14:paraId="12E17218">
      <w:pPr>
        <w:pStyle w:val="43"/>
        <w:ind w:firstLine="0" w:firstLineChars="0"/>
        <w:jc w:val="left"/>
        <w:rPr>
          <w:b/>
          <w:szCs w:val="24"/>
        </w:rPr>
      </w:pPr>
      <w:r>
        <w:rPr>
          <w:rFonts w:hint="eastAsia"/>
          <w:b/>
          <w:szCs w:val="24"/>
        </w:rPr>
        <w:t>二、法定代表人授权书</w:t>
      </w:r>
    </w:p>
    <w:p w14:paraId="7EAAE251">
      <w:pPr>
        <w:pStyle w:val="43"/>
        <w:ind w:firstLine="0" w:firstLineChars="0"/>
        <w:rPr>
          <w:szCs w:val="24"/>
        </w:rPr>
      </w:pPr>
      <w:r>
        <w:rPr>
          <w:rFonts w:hint="eastAsia"/>
          <w:szCs w:val="24"/>
        </w:rPr>
        <w:t>南昌大学第一附属医院赣江新区医院（赣江新区人民医院）：</w:t>
      </w:r>
    </w:p>
    <w:p w14:paraId="3A837B34">
      <w:pPr>
        <w:pStyle w:val="43"/>
        <w:ind w:firstLine="480"/>
        <w:rPr>
          <w:szCs w:val="24"/>
        </w:rPr>
      </w:pPr>
      <w:r>
        <w:rPr>
          <w:rFonts w:hint="eastAsia"/>
          <w:szCs w:val="24"/>
        </w:rPr>
        <w:t>本授权声明：</w:t>
      </w:r>
      <w:r>
        <w:rPr>
          <w:rFonts w:hint="eastAsia"/>
          <w:szCs w:val="24"/>
          <w:u w:val="single"/>
        </w:rPr>
        <w:t xml:space="preserve">　　　　　　　　　　 </w:t>
      </w:r>
      <w:r>
        <w:rPr>
          <w:rFonts w:hint="eastAsia"/>
          <w:szCs w:val="24"/>
        </w:rPr>
        <w:t>（申请人称）</w:t>
      </w:r>
      <w:r>
        <w:rPr>
          <w:rFonts w:hint="eastAsia"/>
          <w:szCs w:val="24"/>
          <w:u w:val="single"/>
        </w:rPr>
        <w:t>　　　　 </w:t>
      </w:r>
      <w:r>
        <w:rPr>
          <w:rFonts w:hint="eastAsia"/>
          <w:szCs w:val="24"/>
        </w:rPr>
        <w:t>（法定代表人姓名、职务）授权</w:t>
      </w:r>
      <w:r>
        <w:rPr>
          <w:rFonts w:hint="eastAsia"/>
          <w:szCs w:val="24"/>
          <w:u w:val="single"/>
        </w:rPr>
        <w:t>　　　　　　　  　　　　</w:t>
      </w:r>
      <w:r>
        <w:rPr>
          <w:rFonts w:hint="eastAsia"/>
          <w:szCs w:val="24"/>
        </w:rPr>
        <w:t>（被授权人姓名、职务）为我方参与南昌大学第一附属医院赣江新区医院（赣江新区人民医院）</w:t>
      </w:r>
      <w:r>
        <w:rPr>
          <w:rFonts w:hint="eastAsia"/>
          <w:szCs w:val="24"/>
          <w:u w:val="single"/>
        </w:rPr>
        <w:t>　　　　　　　　　　</w:t>
      </w:r>
      <w:r>
        <w:rPr>
          <w:rFonts w:hint="eastAsia"/>
          <w:szCs w:val="24"/>
        </w:rPr>
        <w:t>招标活动的合法代表，以我方名义全权处理该项目有关招标、签订合同以及执行合同等一切事宜。</w:t>
      </w:r>
    </w:p>
    <w:p w14:paraId="5E19BF4B">
      <w:pPr>
        <w:pStyle w:val="43"/>
        <w:ind w:firstLine="480"/>
        <w:rPr>
          <w:szCs w:val="24"/>
        </w:rPr>
      </w:pPr>
      <w:r>
        <w:rPr>
          <w:rFonts w:hint="eastAsia"/>
          <w:szCs w:val="24"/>
        </w:rPr>
        <w:t>特此声明。</w:t>
      </w:r>
    </w:p>
    <w:p w14:paraId="0BC79009">
      <w:pPr>
        <w:pStyle w:val="43"/>
        <w:ind w:left="3840" w:leftChars="1600" w:firstLine="480"/>
        <w:jc w:val="left"/>
        <w:rPr>
          <w:szCs w:val="24"/>
        </w:rPr>
      </w:pPr>
      <w:r>
        <w:rPr>
          <w:rFonts w:hint="eastAsia"/>
          <w:szCs w:val="24"/>
        </w:rPr>
        <w:t>申请人名称（盖章）：</w:t>
      </w:r>
      <w:r>
        <w:rPr>
          <w:rFonts w:hint="eastAsia"/>
          <w:szCs w:val="24"/>
          <w:u w:val="single"/>
        </w:rPr>
        <w:t xml:space="preserve">　      　　　    </w:t>
      </w:r>
    </w:p>
    <w:p w14:paraId="24F545E1">
      <w:pPr>
        <w:pStyle w:val="43"/>
        <w:ind w:left="3840" w:leftChars="1600" w:firstLine="480"/>
        <w:jc w:val="left"/>
        <w:rPr>
          <w:szCs w:val="24"/>
          <w:u w:val="single"/>
        </w:rPr>
      </w:pPr>
      <w:r>
        <w:rPr>
          <w:rFonts w:hint="eastAsia"/>
          <w:szCs w:val="24"/>
        </w:rPr>
        <w:t>法定代表人（签字）：</w:t>
      </w:r>
      <w:r>
        <w:rPr>
          <w:rFonts w:hint="eastAsia"/>
          <w:szCs w:val="24"/>
          <w:u w:val="single"/>
        </w:rPr>
        <w:t xml:space="preserve">　　　　　　　　  </w:t>
      </w:r>
    </w:p>
    <w:p w14:paraId="2C1C2A04">
      <w:pPr>
        <w:pStyle w:val="43"/>
        <w:ind w:left="3840" w:leftChars="1600" w:firstLine="480"/>
        <w:jc w:val="left"/>
        <w:rPr>
          <w:szCs w:val="24"/>
        </w:rPr>
      </w:pPr>
      <w:r>
        <w:rPr>
          <w:rFonts w:hint="eastAsia"/>
          <w:szCs w:val="24"/>
        </w:rPr>
        <w:t>身份证号码：</w:t>
      </w:r>
      <w:r>
        <w:rPr>
          <w:rFonts w:hint="eastAsia"/>
          <w:szCs w:val="24"/>
          <w:u w:val="single"/>
        </w:rPr>
        <w:t xml:space="preserve">                   　　  </w:t>
      </w:r>
    </w:p>
    <w:p w14:paraId="2BE4A9FB">
      <w:pPr>
        <w:pStyle w:val="43"/>
        <w:ind w:left="3840" w:leftChars="1600" w:firstLine="480"/>
        <w:jc w:val="left"/>
        <w:rPr>
          <w:szCs w:val="24"/>
        </w:rPr>
      </w:pPr>
      <w:r>
        <w:rPr>
          <w:rFonts w:hint="eastAsia"/>
          <w:szCs w:val="24"/>
        </w:rPr>
        <w:t>委托代理人（签字）：</w:t>
      </w:r>
      <w:r>
        <w:rPr>
          <w:rFonts w:hint="eastAsia"/>
          <w:szCs w:val="24"/>
          <w:u w:val="single"/>
        </w:rPr>
        <w:t xml:space="preserve">          </w:t>
      </w:r>
      <w:r>
        <w:rPr>
          <w:szCs w:val="24"/>
          <w:u w:val="single"/>
        </w:rPr>
        <w:t xml:space="preserve">        </w:t>
      </w:r>
    </w:p>
    <w:p w14:paraId="4BABC143">
      <w:pPr>
        <w:pStyle w:val="43"/>
        <w:ind w:left="3840" w:leftChars="1600" w:firstLine="480"/>
        <w:jc w:val="left"/>
        <w:rPr>
          <w:szCs w:val="24"/>
        </w:rPr>
      </w:pPr>
      <w:r>
        <w:rPr>
          <w:rFonts w:hint="eastAsia"/>
          <w:szCs w:val="24"/>
        </w:rPr>
        <w:t>身份证号码：</w:t>
      </w:r>
      <w:r>
        <w:rPr>
          <w:rFonts w:hint="eastAsia"/>
          <w:szCs w:val="24"/>
          <w:u w:val="single"/>
        </w:rPr>
        <w:t xml:space="preserve">                     　　</w:t>
      </w:r>
    </w:p>
    <w:p w14:paraId="1E9D2715">
      <w:pPr>
        <w:pStyle w:val="43"/>
        <w:ind w:left="3840" w:leftChars="1600" w:firstLine="480"/>
        <w:jc w:val="right"/>
        <w:rPr>
          <w:szCs w:val="24"/>
          <w:u w:val="single"/>
        </w:rPr>
      </w:pPr>
      <w:r>
        <w:rPr>
          <w:rFonts w:hint="eastAsia"/>
          <w:szCs w:val="24"/>
        </w:rPr>
        <w:t>年    月    日</w:t>
      </w:r>
    </w:p>
    <w:p w14:paraId="3A392706">
      <w:pPr>
        <w:pStyle w:val="43"/>
        <w:ind w:firstLine="482"/>
        <w:rPr>
          <w:b/>
          <w:szCs w:val="24"/>
        </w:rPr>
      </w:pPr>
      <w:r>
        <w:rPr>
          <w:rFonts w:hint="eastAsia"/>
          <w:b/>
          <w:szCs w:val="24"/>
        </w:rPr>
        <w:t>另附委托代理人身份证复印件（加盖单位公章）。</w:t>
      </w:r>
    </w:p>
    <w:p w14:paraId="20A39815">
      <w:pPr>
        <w:pStyle w:val="43"/>
        <w:ind w:firstLine="482"/>
        <w:rPr>
          <w:b/>
          <w:szCs w:val="24"/>
        </w:rPr>
      </w:pPr>
    </w:p>
    <w:p w14:paraId="4A362804">
      <w:pPr>
        <w:pStyle w:val="43"/>
        <w:ind w:firstLine="482"/>
        <w:rPr>
          <w:b/>
          <w:szCs w:val="24"/>
        </w:rPr>
      </w:pPr>
    </w:p>
    <w:p w14:paraId="73247968">
      <w:pPr>
        <w:pStyle w:val="43"/>
        <w:ind w:firstLine="0" w:firstLineChars="0"/>
        <w:rPr>
          <w:b/>
          <w:szCs w:val="24"/>
        </w:rPr>
      </w:pPr>
      <w:r>
        <w:rPr>
          <w:rFonts w:hint="eastAsia"/>
          <w:b/>
          <w:szCs w:val="24"/>
        </w:rPr>
        <w:t>三、申请函</w:t>
      </w:r>
    </w:p>
    <w:p w14:paraId="3CB04B02">
      <w:pPr>
        <w:pStyle w:val="43"/>
        <w:ind w:firstLine="0" w:firstLineChars="0"/>
        <w:rPr>
          <w:szCs w:val="24"/>
        </w:rPr>
      </w:pPr>
      <w:r>
        <w:rPr>
          <w:rFonts w:hint="eastAsia"/>
          <w:szCs w:val="24"/>
        </w:rPr>
        <w:t>南昌大学第一附属医院赣江新区医院（赣江新区人民医院）：</w:t>
      </w:r>
    </w:p>
    <w:p w14:paraId="3FCE0CE2">
      <w:pPr>
        <w:pStyle w:val="43"/>
        <w:ind w:firstLine="480"/>
        <w:rPr>
          <w:szCs w:val="24"/>
        </w:rPr>
      </w:pPr>
      <w:r>
        <w:rPr>
          <w:rFonts w:hint="eastAsia"/>
          <w:szCs w:val="24"/>
        </w:rPr>
        <w:t>我方全面研究了</w:t>
      </w:r>
      <w:r>
        <w:rPr>
          <w:rFonts w:hint="eastAsia"/>
          <w:szCs w:val="24"/>
          <w:u w:val="single"/>
        </w:rPr>
        <w:t>　　　　　　　　　　　　　</w:t>
      </w:r>
      <w:r>
        <w:rPr>
          <w:rFonts w:hint="eastAsia"/>
          <w:szCs w:val="24"/>
        </w:rPr>
        <w:t>招标文件，决定参加贵单位组织的招标活动，并授权</w:t>
      </w:r>
      <w:r>
        <w:rPr>
          <w:rFonts w:hint="eastAsia"/>
          <w:szCs w:val="24"/>
          <w:u w:val="single"/>
        </w:rPr>
        <w:t>　　　　　　　</w:t>
      </w:r>
      <w:r>
        <w:rPr>
          <w:rFonts w:hint="eastAsia"/>
          <w:szCs w:val="24"/>
        </w:rPr>
        <w:t>（姓名、职务）代表我方全权处理本次招标活动的全部事宜。</w:t>
      </w:r>
    </w:p>
    <w:p w14:paraId="51FF4597">
      <w:pPr>
        <w:pStyle w:val="43"/>
        <w:ind w:firstLine="480"/>
        <w:rPr>
          <w:szCs w:val="24"/>
        </w:rPr>
      </w:pPr>
      <w:r>
        <w:rPr>
          <w:rFonts w:hint="eastAsia"/>
          <w:szCs w:val="24"/>
        </w:rPr>
        <w:t xml:space="preserve">1、我方自愿按照招标文件规定的各项要求向用户单位提供文件所规定的全部服务。 </w:t>
      </w:r>
    </w:p>
    <w:p w14:paraId="5F5374C7">
      <w:pPr>
        <w:pStyle w:val="43"/>
        <w:ind w:firstLine="480"/>
        <w:rPr>
          <w:szCs w:val="24"/>
        </w:rPr>
      </w:pPr>
      <w:r>
        <w:rPr>
          <w:rFonts w:hint="eastAsia"/>
          <w:szCs w:val="24"/>
        </w:rPr>
        <w:t>2、一旦确认我方为中选人，我方将严格履行合同规定的责任和义务，保证于合同签字生效后</w:t>
      </w:r>
      <w:r>
        <w:rPr>
          <w:rFonts w:hint="eastAsia"/>
          <w:szCs w:val="24"/>
          <w:u w:val="single"/>
        </w:rPr>
        <w:t xml:space="preserve">　　 </w:t>
      </w:r>
      <w:r>
        <w:rPr>
          <w:rFonts w:hint="eastAsia"/>
          <w:szCs w:val="24"/>
        </w:rPr>
        <w:t>日内提供服务，并</w:t>
      </w:r>
      <w:r>
        <w:rPr>
          <w:rFonts w:hint="eastAsia"/>
          <w:szCs w:val="24"/>
          <w:lang w:val="en-US" w:eastAsia="zh-Hans"/>
        </w:rPr>
        <w:t>配合进行后续相关工作</w:t>
      </w:r>
      <w:r>
        <w:rPr>
          <w:rFonts w:hint="eastAsia"/>
          <w:szCs w:val="24"/>
        </w:rPr>
        <w:t>。</w:t>
      </w:r>
    </w:p>
    <w:p w14:paraId="5539E509">
      <w:pPr>
        <w:pStyle w:val="43"/>
        <w:ind w:firstLine="480"/>
        <w:rPr>
          <w:szCs w:val="24"/>
        </w:rPr>
      </w:pPr>
      <w:r>
        <w:rPr>
          <w:rFonts w:hint="eastAsia"/>
          <w:szCs w:val="24"/>
        </w:rPr>
        <w:t>4、我方同意提供与招标有关的其他文件资料，并保证已经提供和将要提供的文件资料是真实、准确的，否则，愿意承担由此产生的一切责任。</w:t>
      </w:r>
    </w:p>
    <w:p w14:paraId="757CE649">
      <w:pPr>
        <w:pStyle w:val="43"/>
        <w:ind w:firstLine="480"/>
        <w:rPr>
          <w:szCs w:val="24"/>
        </w:rPr>
      </w:pPr>
      <w:r>
        <w:rPr>
          <w:rFonts w:hint="eastAsia"/>
          <w:szCs w:val="24"/>
        </w:rPr>
        <w:t>5、一旦确定我方为中选人，我方将严格按照申请书和所签订合同的要求，做好服务。</w:t>
      </w:r>
    </w:p>
    <w:p w14:paraId="1FBEA17E">
      <w:pPr>
        <w:pStyle w:val="43"/>
        <w:ind w:firstLine="480"/>
        <w:rPr>
          <w:szCs w:val="24"/>
        </w:rPr>
      </w:pPr>
    </w:p>
    <w:p w14:paraId="2EC79C26">
      <w:pPr>
        <w:pStyle w:val="43"/>
        <w:ind w:left="2160" w:leftChars="900" w:firstLine="480"/>
        <w:rPr>
          <w:szCs w:val="24"/>
        </w:rPr>
      </w:pPr>
      <w:r>
        <w:rPr>
          <w:rFonts w:hint="eastAsia"/>
          <w:szCs w:val="24"/>
        </w:rPr>
        <w:t>申请人名称（盖章）：</w:t>
      </w:r>
      <w:r>
        <w:rPr>
          <w:rFonts w:hint="eastAsia"/>
          <w:szCs w:val="24"/>
          <w:u w:val="single"/>
        </w:rPr>
        <w:t xml:space="preserve">　      　　　 </w:t>
      </w:r>
      <w:r>
        <w:rPr>
          <w:szCs w:val="24"/>
          <w:u w:val="single"/>
        </w:rPr>
        <w:t xml:space="preserve">              </w:t>
      </w:r>
      <w:r>
        <w:rPr>
          <w:rFonts w:hint="eastAsia"/>
          <w:szCs w:val="24"/>
          <w:u w:val="single"/>
        </w:rPr>
        <w:t xml:space="preserve">   </w:t>
      </w:r>
    </w:p>
    <w:p w14:paraId="3124E4A4">
      <w:pPr>
        <w:pStyle w:val="43"/>
        <w:ind w:left="2160" w:leftChars="900" w:firstLine="480"/>
        <w:rPr>
          <w:szCs w:val="24"/>
          <w:u w:val="single"/>
        </w:rPr>
      </w:pPr>
      <w:r>
        <w:rPr>
          <w:rFonts w:hint="eastAsia"/>
          <w:szCs w:val="24"/>
        </w:rPr>
        <w:t>法定代表人或委托代理人（签字）：</w:t>
      </w:r>
      <w:r>
        <w:rPr>
          <w:rFonts w:hint="eastAsia"/>
          <w:szCs w:val="24"/>
          <w:u w:val="single"/>
        </w:rPr>
        <w:t>　　　　　　　　　　</w:t>
      </w:r>
    </w:p>
    <w:p w14:paraId="437FDDB0">
      <w:pPr>
        <w:pStyle w:val="43"/>
        <w:ind w:left="2160" w:leftChars="900" w:firstLine="480"/>
        <w:rPr>
          <w:szCs w:val="24"/>
          <w:u w:val="single"/>
        </w:rPr>
      </w:pPr>
      <w:r>
        <w:rPr>
          <w:rFonts w:hint="eastAsia"/>
          <w:szCs w:val="24"/>
        </w:rPr>
        <w:t xml:space="preserve">通讯地址： </w:t>
      </w:r>
      <w:r>
        <w:rPr>
          <w:rFonts w:hint="eastAsia"/>
          <w:szCs w:val="24"/>
          <w:u w:val="single"/>
        </w:rPr>
        <w:t>　　　　　　　　　　　　　　　　　　　　</w:t>
      </w:r>
    </w:p>
    <w:p w14:paraId="5549A3CB">
      <w:pPr>
        <w:pStyle w:val="43"/>
        <w:ind w:left="2160" w:leftChars="900" w:firstLine="480"/>
        <w:rPr>
          <w:szCs w:val="24"/>
          <w:u w:val="single"/>
        </w:rPr>
      </w:pPr>
      <w:r>
        <w:rPr>
          <w:rFonts w:hint="eastAsia"/>
          <w:szCs w:val="24"/>
        </w:rPr>
        <w:t>联系电话：</w:t>
      </w:r>
      <w:r>
        <w:rPr>
          <w:rFonts w:hint="eastAsia"/>
          <w:szCs w:val="24"/>
          <w:u w:val="single"/>
        </w:rPr>
        <w:t>　　　　                             　　</w:t>
      </w:r>
    </w:p>
    <w:p w14:paraId="54789A61">
      <w:pPr>
        <w:pStyle w:val="43"/>
        <w:ind w:firstLine="480"/>
        <w:rPr>
          <w:b/>
        </w:rPr>
      </w:pPr>
      <w:r>
        <w:rPr>
          <w:rFonts w:hint="eastAsia"/>
        </w:rPr>
        <w:t xml:space="preserve">        　　　　　</w:t>
      </w:r>
    </w:p>
    <w:p w14:paraId="209D610C">
      <w:pPr>
        <w:pStyle w:val="43"/>
        <w:ind w:firstLine="0" w:firstLineChars="0"/>
        <w:rPr>
          <w:b/>
        </w:rPr>
      </w:pPr>
      <w:r>
        <w:rPr>
          <w:rFonts w:hint="eastAsia"/>
          <w:b/>
        </w:rPr>
        <w:t>四、开标一览表（报价表）</w:t>
      </w:r>
    </w:p>
    <w:p w14:paraId="02B23E95">
      <w:pPr>
        <w:pStyle w:val="43"/>
        <w:ind w:firstLine="480"/>
      </w:pPr>
      <w:r>
        <w:rPr>
          <w:rFonts w:hint="eastAsia"/>
        </w:rPr>
        <w:t xml:space="preserve">项目名称： </w:t>
      </w:r>
    </w:p>
    <w:tbl>
      <w:tblPr>
        <w:tblStyle w:val="28"/>
        <w:tblW w:w="7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3342"/>
        <w:gridCol w:w="2127"/>
      </w:tblGrid>
      <w:tr w14:paraId="18822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3B1D2EB1">
            <w:pPr>
              <w:pStyle w:val="43"/>
              <w:ind w:firstLine="0" w:firstLineChars="0"/>
              <w:jc w:val="center"/>
              <w:rPr>
                <w:rFonts w:hint="default" w:eastAsia="宋体"/>
                <w:lang w:val="en-US" w:eastAsia="zh-Hans"/>
              </w:rPr>
            </w:pPr>
            <w:r>
              <w:rPr>
                <w:rFonts w:hint="eastAsia"/>
                <w:lang w:val="en-US" w:eastAsia="zh-Hans"/>
              </w:rPr>
              <w:t>项目名称</w:t>
            </w:r>
          </w:p>
        </w:tc>
        <w:tc>
          <w:tcPr>
            <w:tcW w:w="3342" w:type="dxa"/>
            <w:tcBorders>
              <w:top w:val="single" w:color="auto" w:sz="4" w:space="0"/>
              <w:left w:val="single" w:color="auto" w:sz="4" w:space="0"/>
              <w:bottom w:val="single" w:color="auto" w:sz="4" w:space="0"/>
              <w:right w:val="single" w:color="auto" w:sz="4" w:space="0"/>
            </w:tcBorders>
            <w:vAlign w:val="center"/>
          </w:tcPr>
          <w:p w14:paraId="60DB9435">
            <w:pPr>
              <w:pStyle w:val="43"/>
              <w:ind w:firstLine="0" w:firstLineChars="0"/>
              <w:jc w:val="center"/>
              <w:rPr>
                <w:rFonts w:hint="default" w:eastAsia="宋体"/>
                <w:lang w:eastAsia="zh-Hans"/>
              </w:rPr>
            </w:pPr>
            <w:r>
              <w:rPr>
                <w:rFonts w:hint="eastAsia"/>
                <w:lang w:val="en-US" w:eastAsia="zh-CN"/>
              </w:rPr>
              <w:t>咨询服务费/月</w:t>
            </w:r>
          </w:p>
        </w:tc>
        <w:tc>
          <w:tcPr>
            <w:tcW w:w="2127" w:type="dxa"/>
            <w:tcBorders>
              <w:top w:val="single" w:color="auto" w:sz="4" w:space="0"/>
              <w:left w:val="single" w:color="auto" w:sz="4" w:space="0"/>
              <w:bottom w:val="single" w:color="auto" w:sz="4" w:space="0"/>
              <w:right w:val="single" w:color="auto" w:sz="4" w:space="0"/>
            </w:tcBorders>
            <w:vAlign w:val="center"/>
          </w:tcPr>
          <w:p w14:paraId="49680E47">
            <w:pPr>
              <w:pStyle w:val="43"/>
              <w:ind w:firstLine="0" w:firstLineChars="0"/>
              <w:jc w:val="center"/>
            </w:pPr>
            <w:r>
              <w:rPr>
                <w:rFonts w:hint="eastAsia"/>
              </w:rPr>
              <w:t>备注</w:t>
            </w:r>
          </w:p>
        </w:tc>
      </w:tr>
      <w:tr w14:paraId="1033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985" w:type="dxa"/>
            <w:tcBorders>
              <w:top w:val="single" w:color="auto" w:sz="4" w:space="0"/>
              <w:left w:val="single" w:color="auto" w:sz="4" w:space="0"/>
              <w:bottom w:val="single" w:color="auto" w:sz="4" w:space="0"/>
              <w:right w:val="single" w:color="auto" w:sz="4" w:space="0"/>
            </w:tcBorders>
          </w:tcPr>
          <w:p w14:paraId="761900F0">
            <w:pPr>
              <w:pStyle w:val="43"/>
              <w:ind w:left="0" w:leftChars="0" w:firstLine="0" w:firstLineChars="0"/>
            </w:pPr>
            <w:r>
              <w:rPr>
                <w:rFonts w:hint="eastAsia" w:eastAsia="宋体"/>
                <w:lang w:val="en-US" w:eastAsia="zh-Hans"/>
              </w:rPr>
              <w:t>零星项目改造工程造价咨询服务</w:t>
            </w:r>
          </w:p>
        </w:tc>
        <w:tc>
          <w:tcPr>
            <w:tcW w:w="3342" w:type="dxa"/>
            <w:tcBorders>
              <w:top w:val="single" w:color="auto" w:sz="4" w:space="0"/>
              <w:left w:val="single" w:color="auto" w:sz="4" w:space="0"/>
              <w:bottom w:val="single" w:color="auto" w:sz="4" w:space="0"/>
              <w:right w:val="single" w:color="auto" w:sz="4" w:space="0"/>
            </w:tcBorders>
          </w:tcPr>
          <w:p w14:paraId="017F9ACA">
            <w:pPr>
              <w:pStyle w:val="43"/>
              <w:ind w:firstLine="480"/>
            </w:pPr>
          </w:p>
        </w:tc>
        <w:tc>
          <w:tcPr>
            <w:tcW w:w="2127" w:type="dxa"/>
            <w:tcBorders>
              <w:top w:val="single" w:color="auto" w:sz="4" w:space="0"/>
              <w:left w:val="single" w:color="auto" w:sz="4" w:space="0"/>
              <w:bottom w:val="single" w:color="auto" w:sz="4" w:space="0"/>
              <w:right w:val="single" w:color="auto" w:sz="4" w:space="0"/>
            </w:tcBorders>
          </w:tcPr>
          <w:p w14:paraId="5153BF2B">
            <w:pPr>
              <w:pStyle w:val="43"/>
              <w:ind w:firstLine="480"/>
            </w:pPr>
          </w:p>
        </w:tc>
      </w:tr>
    </w:tbl>
    <w:p w14:paraId="1D79C528">
      <w:pPr>
        <w:pStyle w:val="43"/>
        <w:ind w:firstLine="482"/>
        <w:rPr>
          <w:b/>
          <w:szCs w:val="24"/>
        </w:rPr>
      </w:pPr>
      <w:r>
        <w:rPr>
          <w:rFonts w:hint="eastAsia"/>
          <w:b/>
          <w:szCs w:val="24"/>
        </w:rPr>
        <w:t>“开标一览表”均需由法定代表人或委托代理人签字并加盖投标人印章。</w:t>
      </w:r>
    </w:p>
    <w:p w14:paraId="56ADBE9A">
      <w:pPr>
        <w:pStyle w:val="43"/>
        <w:ind w:firstLine="480"/>
        <w:rPr>
          <w:szCs w:val="24"/>
        </w:rPr>
      </w:pPr>
    </w:p>
    <w:p w14:paraId="75FCDDD9">
      <w:pPr>
        <w:pStyle w:val="43"/>
        <w:ind w:left="2880" w:leftChars="1200" w:firstLine="480"/>
        <w:rPr>
          <w:szCs w:val="24"/>
        </w:rPr>
      </w:pPr>
      <w:r>
        <w:rPr>
          <w:rFonts w:hint="eastAsia"/>
          <w:szCs w:val="24"/>
        </w:rPr>
        <w:t>申请人名称（盖章）：</w:t>
      </w:r>
      <w:r>
        <w:rPr>
          <w:rFonts w:hint="eastAsia"/>
          <w:szCs w:val="24"/>
          <w:u w:val="single"/>
        </w:rPr>
        <w:t xml:space="preserve">　　　      </w:t>
      </w:r>
      <w:r>
        <w:rPr>
          <w:szCs w:val="24"/>
          <w:u w:val="single"/>
        </w:rPr>
        <w:t xml:space="preserve"> </w:t>
      </w:r>
      <w:r>
        <w:rPr>
          <w:rFonts w:hint="eastAsia"/>
          <w:szCs w:val="24"/>
          <w:u w:val="single"/>
        </w:rPr>
        <w:t xml:space="preserve">              </w:t>
      </w:r>
    </w:p>
    <w:p w14:paraId="2A913B9A">
      <w:pPr>
        <w:pStyle w:val="43"/>
        <w:ind w:left="2880" w:leftChars="1200" w:firstLine="480"/>
        <w:rPr>
          <w:szCs w:val="24"/>
          <w:u w:val="single"/>
        </w:rPr>
      </w:pPr>
      <w:r>
        <w:rPr>
          <w:rFonts w:hint="eastAsia"/>
          <w:szCs w:val="24"/>
        </w:rPr>
        <w:t>法定代表人或委托代理人（签字）：</w:t>
      </w:r>
      <w:r>
        <w:rPr>
          <w:rFonts w:hint="eastAsia"/>
          <w:szCs w:val="24"/>
          <w:u w:val="single"/>
        </w:rPr>
        <w:t>　　　　　　　</w:t>
      </w:r>
    </w:p>
    <w:p w14:paraId="025758D9">
      <w:pPr>
        <w:pStyle w:val="43"/>
        <w:ind w:left="2880" w:leftChars="1200" w:firstLine="480"/>
        <w:rPr>
          <w:sz w:val="26"/>
          <w:szCs w:val="24"/>
          <w:u w:val="single"/>
        </w:rPr>
      </w:pPr>
      <w:r>
        <w:rPr>
          <w:rFonts w:hint="eastAsia"/>
          <w:szCs w:val="24"/>
        </w:rPr>
        <w:t>时间：</w:t>
      </w:r>
      <w:r>
        <w:rPr>
          <w:rFonts w:hint="eastAsia"/>
          <w:szCs w:val="24"/>
          <w:u w:val="single"/>
        </w:rPr>
        <w:t>　　　　　　　　　             　　　</w:t>
      </w:r>
      <w:r>
        <w:rPr>
          <w:rFonts w:hint="eastAsia"/>
          <w:sz w:val="26"/>
          <w:szCs w:val="24"/>
          <w:u w:val="single"/>
        </w:rPr>
        <w:t>　</w:t>
      </w:r>
    </w:p>
    <w:p w14:paraId="51AE007C"/>
    <w:p w14:paraId="289557DD">
      <w:pPr>
        <w:pStyle w:val="51"/>
        <w:spacing w:before="320"/>
        <w:jc w:val="both"/>
        <w:rPr>
          <w:rFonts w:hint="eastAsia"/>
        </w:rPr>
        <w:sectPr>
          <w:pgSz w:w="11907" w:h="16840"/>
          <w:pgMar w:top="1418" w:right="1418" w:bottom="1418" w:left="1814" w:header="1134" w:footer="851" w:gutter="0"/>
          <w:pgNumType w:fmt="numberInDash"/>
          <w:cols w:space="425" w:num="1"/>
          <w:titlePg/>
          <w:docGrid w:type="linesAndChars" w:linePitch="312" w:charSpace="0"/>
        </w:sectPr>
      </w:pPr>
    </w:p>
    <w:p w14:paraId="61779733">
      <w:pPr>
        <w:pStyle w:val="51"/>
        <w:spacing w:before="320"/>
        <w:jc w:val="center"/>
      </w:pPr>
      <w:bookmarkStart w:id="29" w:name="_Toc27585"/>
      <w:r>
        <w:rPr>
          <w:rFonts w:hint="eastAsia"/>
        </w:rPr>
        <w:t>第四章 拟签订</w:t>
      </w:r>
      <w:r>
        <w:t>的</w:t>
      </w:r>
      <w:r>
        <w:rPr>
          <w:rFonts w:hint="eastAsia"/>
        </w:rPr>
        <w:t>合同文本</w:t>
      </w:r>
      <w:bookmarkEnd w:id="29"/>
    </w:p>
    <w:p w14:paraId="338BFF42">
      <w:pPr>
        <w:spacing w:line="580" w:lineRule="exact"/>
        <w:jc w:val="center"/>
        <w:rPr>
          <w:rFonts w:ascii="宋体" w:hAnsi="宋体" w:cs="仿宋"/>
          <w:b/>
          <w:color w:val="000000"/>
          <w:kern w:val="0"/>
          <w:sz w:val="28"/>
          <w:szCs w:val="24"/>
        </w:rPr>
      </w:pPr>
    </w:p>
    <w:p w14:paraId="5CA9CD51">
      <w:pPr>
        <w:spacing w:line="580" w:lineRule="exact"/>
        <w:jc w:val="center"/>
        <w:rPr>
          <w:rFonts w:ascii="宋体" w:hAnsi="宋体" w:cs="仿宋"/>
          <w:b/>
          <w:color w:val="000000"/>
          <w:kern w:val="0"/>
          <w:sz w:val="28"/>
          <w:szCs w:val="24"/>
          <w:u w:val="single"/>
        </w:rPr>
      </w:pPr>
      <w:r>
        <w:rPr>
          <w:rFonts w:hint="eastAsia" w:ascii="宋体" w:hAnsi="宋体" w:cs="仿宋"/>
          <w:b/>
          <w:color w:val="000000"/>
          <w:kern w:val="0"/>
          <w:sz w:val="28"/>
          <w:szCs w:val="24"/>
        </w:rPr>
        <w:t>赣江新区人民医院</w:t>
      </w:r>
      <w:r>
        <w:rPr>
          <w:rFonts w:ascii="宋体" w:hAnsi="宋体" w:cs="仿宋"/>
          <w:b/>
          <w:color w:val="000000"/>
          <w:kern w:val="0"/>
          <w:sz w:val="28"/>
          <w:szCs w:val="24"/>
          <w:u w:val="single"/>
        </w:rPr>
        <w:t xml:space="preserve">                </w:t>
      </w:r>
      <w:r>
        <w:rPr>
          <w:rFonts w:hint="eastAsia" w:ascii="宋体" w:hAnsi="宋体" w:cs="仿宋"/>
          <w:b/>
          <w:color w:val="000000"/>
          <w:kern w:val="0"/>
          <w:sz w:val="28"/>
          <w:szCs w:val="24"/>
        </w:rPr>
        <w:t>合同</w:t>
      </w:r>
      <w:r>
        <w:rPr>
          <w:rFonts w:ascii="宋体" w:hAnsi="宋体" w:cs="仿宋"/>
          <w:b/>
          <w:color w:val="000000"/>
          <w:kern w:val="0"/>
          <w:sz w:val="28"/>
          <w:szCs w:val="24"/>
        </w:rPr>
        <w:t>（</w:t>
      </w:r>
      <w:r>
        <w:rPr>
          <w:rFonts w:hint="eastAsia" w:ascii="宋体" w:hAnsi="宋体" w:cs="仿宋"/>
          <w:b/>
          <w:color w:val="000000"/>
          <w:kern w:val="0"/>
          <w:sz w:val="28"/>
          <w:szCs w:val="24"/>
        </w:rPr>
        <w:t>协议</w:t>
      </w:r>
      <w:r>
        <w:rPr>
          <w:rFonts w:ascii="宋体" w:hAnsi="宋体" w:cs="仿宋"/>
          <w:b/>
          <w:color w:val="000000"/>
          <w:kern w:val="0"/>
          <w:sz w:val="28"/>
          <w:szCs w:val="24"/>
        </w:rPr>
        <w:t>）</w:t>
      </w:r>
    </w:p>
    <w:p w14:paraId="6AF46C16">
      <w:pPr>
        <w:pStyle w:val="43"/>
        <w:spacing w:before="312" w:beforeLines="100"/>
        <w:ind w:firstLine="0" w:firstLineChars="0"/>
        <w:rPr>
          <w:rFonts w:hint="eastAsia" w:eastAsia="宋体"/>
          <w:lang w:eastAsia="zh-CN"/>
        </w:rPr>
      </w:pPr>
      <w:r>
        <w:rPr>
          <w:rFonts w:hint="eastAsia"/>
        </w:rPr>
        <w:t>甲方（采购单位）：___</w:t>
      </w:r>
      <w:r>
        <w:rPr>
          <w:rFonts w:hint="eastAsia"/>
          <w:u w:val="single"/>
        </w:rPr>
        <w:t>__</w:t>
      </w:r>
      <w:r>
        <w:rPr>
          <w:u w:val="single"/>
        </w:rPr>
        <w:t xml:space="preserve">             </w:t>
      </w:r>
      <w:r>
        <w:rPr>
          <w:rFonts w:hint="eastAsia"/>
          <w:u w:val="single"/>
        </w:rPr>
        <w:t>__</w:t>
      </w:r>
      <w:r>
        <w:rPr>
          <w:rFonts w:hint="eastAsia"/>
        </w:rPr>
        <w:t>_</w:t>
      </w:r>
    </w:p>
    <w:p w14:paraId="100A62F6">
      <w:pPr>
        <w:pStyle w:val="43"/>
        <w:spacing w:before="312" w:beforeLines="100"/>
        <w:ind w:firstLine="0" w:firstLineChars="0"/>
      </w:pPr>
      <w:r>
        <w:rPr>
          <w:rFonts w:hint="eastAsia"/>
        </w:rPr>
        <w:t>乙方（服务单位）：_______</w:t>
      </w:r>
      <w:r>
        <w:rPr>
          <w:rFonts w:hint="eastAsia"/>
          <w:u w:val="single"/>
        </w:rPr>
        <w:t>_</w:t>
      </w:r>
      <w:r>
        <w:rPr>
          <w:u w:val="single"/>
        </w:rPr>
        <w:t xml:space="preserve">             </w:t>
      </w:r>
    </w:p>
    <w:p w14:paraId="71C8D281">
      <w:pPr>
        <w:numPr>
          <w:ilvl w:val="0"/>
          <w:numId w:val="3"/>
        </w:numPr>
        <w:spacing w:line="336" w:lineRule="auto"/>
        <w:rPr>
          <w:rFonts w:hint="eastAsia"/>
          <w:sz w:val="24"/>
        </w:rPr>
      </w:pPr>
      <w:r>
        <w:rPr>
          <w:rFonts w:hint="eastAsia"/>
          <w:sz w:val="24"/>
        </w:rPr>
        <w:t>委托人委托咨询人为以下项目提供建设工程造价咨询服务：</w:t>
      </w:r>
    </w:p>
    <w:p w14:paraId="456BAAAB">
      <w:pPr>
        <w:pStyle w:val="4"/>
        <w:numPr>
          <w:ilvl w:val="0"/>
          <w:numId w:val="4"/>
        </w:numPr>
        <w:spacing w:before="0" w:beforeAutospacing="0" w:after="0" w:afterAutospacing="0" w:line="600" w:lineRule="atLeast"/>
        <w:ind w:firstLine="480" w:firstLineChars="200"/>
        <w:rPr>
          <w:rFonts w:hint="eastAsia" w:ascii="Times New Roman" w:hAnsi="Times New Roman" w:eastAsia="宋体" w:cs="Times New Roman"/>
          <w:b w:val="0"/>
          <w:bCs w:val="0"/>
          <w:kern w:val="2"/>
          <w:sz w:val="24"/>
          <w:szCs w:val="20"/>
          <w:u w:val="single"/>
          <w:lang w:val="en-US" w:eastAsia="zh-CN"/>
        </w:rPr>
      </w:pPr>
      <w:r>
        <w:rPr>
          <w:rFonts w:hint="eastAsia" w:ascii="Times New Roman" w:hAnsi="Times New Roman" w:cs="Times New Roman"/>
          <w:b w:val="0"/>
          <w:bCs w:val="0"/>
          <w:kern w:val="2"/>
          <w:sz w:val="24"/>
          <w:szCs w:val="20"/>
        </w:rPr>
        <w:t>项目名称：</w:t>
      </w:r>
      <w:r>
        <w:rPr>
          <w:rFonts w:hint="eastAsia" w:ascii="Times New Roman" w:hAnsi="Times New Roman" w:cs="Times New Roman"/>
          <w:b/>
          <w:bCs/>
          <w:kern w:val="2"/>
          <w:sz w:val="24"/>
          <w:szCs w:val="20"/>
          <w:u w:val="single"/>
          <w:lang w:val="en-US" w:eastAsia="zh-CN"/>
        </w:rPr>
        <w:t xml:space="preserve">                                         </w:t>
      </w:r>
    </w:p>
    <w:p w14:paraId="245C0791">
      <w:pPr>
        <w:spacing w:line="336" w:lineRule="auto"/>
        <w:ind w:left="549" w:leftChars="229"/>
        <w:rPr>
          <w:rFonts w:hint="eastAsia"/>
          <w:sz w:val="24"/>
          <w:u w:val="single"/>
        </w:rPr>
      </w:pPr>
      <w:r>
        <w:rPr>
          <w:rFonts w:hint="eastAsia"/>
          <w:sz w:val="24"/>
        </w:rPr>
        <w:t>2. 服务类别：</w:t>
      </w:r>
      <w:r>
        <w:rPr>
          <w:rFonts w:hint="eastAsia"/>
          <w:sz w:val="24"/>
          <w:u w:val="single"/>
        </w:rPr>
        <w:t xml:space="preserve">        </w:t>
      </w:r>
      <w:r>
        <w:rPr>
          <w:rFonts w:hint="eastAsia"/>
          <w:b/>
          <w:sz w:val="24"/>
          <w:u w:val="single"/>
        </w:rPr>
        <w:t xml:space="preserve">   </w:t>
      </w:r>
      <w:r>
        <w:rPr>
          <w:rFonts w:hint="eastAsia"/>
          <w:b/>
          <w:sz w:val="24"/>
          <w:u w:val="single"/>
          <w:lang w:val="en-US" w:eastAsia="zh-CN"/>
        </w:rPr>
        <w:t>工程造价咨询</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14:paraId="5265FD27">
      <w:pPr>
        <w:spacing w:line="336" w:lineRule="auto"/>
        <w:ind w:left="480"/>
        <w:rPr>
          <w:rFonts w:hint="eastAsia"/>
          <w:sz w:val="24"/>
        </w:rPr>
      </w:pPr>
      <w:r>
        <w:rPr>
          <w:rFonts w:hint="eastAsia"/>
          <w:sz w:val="24"/>
        </w:rPr>
        <w:t>二、本合同的措词和用语与所属建设工程造价咨询合同条件及有关附件同义。</w:t>
      </w:r>
    </w:p>
    <w:p w14:paraId="4FB61C32">
      <w:pPr>
        <w:spacing w:line="336" w:lineRule="auto"/>
        <w:ind w:left="480"/>
        <w:rPr>
          <w:rFonts w:hint="eastAsia"/>
          <w:sz w:val="24"/>
        </w:rPr>
      </w:pPr>
      <w:r>
        <w:rPr>
          <w:rFonts w:hint="eastAsia"/>
          <w:sz w:val="24"/>
        </w:rPr>
        <w:t>三、下列文件均为本合同的组成部分：</w:t>
      </w:r>
    </w:p>
    <w:p w14:paraId="2319BF0F">
      <w:pPr>
        <w:numPr>
          <w:ilvl w:val="0"/>
          <w:numId w:val="5"/>
        </w:numPr>
        <w:spacing w:line="336" w:lineRule="auto"/>
        <w:rPr>
          <w:rFonts w:hint="eastAsia"/>
          <w:sz w:val="24"/>
        </w:rPr>
      </w:pPr>
      <w:r>
        <w:rPr>
          <w:rFonts w:hint="eastAsia"/>
          <w:sz w:val="24"/>
        </w:rPr>
        <w:t>建设工程造价咨询合同标准条件；</w:t>
      </w:r>
    </w:p>
    <w:p w14:paraId="09192DFB">
      <w:pPr>
        <w:numPr>
          <w:ilvl w:val="0"/>
          <w:numId w:val="5"/>
        </w:numPr>
        <w:spacing w:line="336" w:lineRule="auto"/>
        <w:rPr>
          <w:rFonts w:hint="eastAsia"/>
          <w:sz w:val="24"/>
        </w:rPr>
      </w:pPr>
      <w:r>
        <w:rPr>
          <w:rFonts w:hint="eastAsia"/>
          <w:sz w:val="24"/>
        </w:rPr>
        <w:t>建设工程造价咨询合同专用条件；</w:t>
      </w:r>
    </w:p>
    <w:p w14:paraId="57C654B7">
      <w:pPr>
        <w:numPr>
          <w:ilvl w:val="0"/>
          <w:numId w:val="5"/>
        </w:numPr>
        <w:spacing w:line="336" w:lineRule="auto"/>
        <w:rPr>
          <w:rFonts w:hint="eastAsia"/>
          <w:sz w:val="24"/>
        </w:rPr>
      </w:pPr>
      <w:r>
        <w:rPr>
          <w:rFonts w:hint="eastAsia"/>
          <w:sz w:val="24"/>
        </w:rPr>
        <w:t>建设工程造价咨询合同执行中共同签署的补充与修正文件。</w:t>
      </w:r>
    </w:p>
    <w:p w14:paraId="5FE21011">
      <w:pPr>
        <w:spacing w:line="336" w:lineRule="auto"/>
        <w:ind w:firstLine="480"/>
        <w:rPr>
          <w:rFonts w:hint="eastAsia"/>
          <w:sz w:val="24"/>
        </w:rPr>
      </w:pPr>
      <w:r>
        <w:rPr>
          <w:rFonts w:hint="eastAsia"/>
          <w:sz w:val="24"/>
        </w:rPr>
        <w:t>四、咨询人同意按照本合同的规定，承担本合同专用条件中议定范围内的建设工程造价咨询业务。</w:t>
      </w:r>
    </w:p>
    <w:p w14:paraId="406E3453">
      <w:pPr>
        <w:spacing w:line="336" w:lineRule="auto"/>
        <w:ind w:firstLine="480"/>
        <w:rPr>
          <w:rFonts w:hint="eastAsia"/>
          <w:sz w:val="24"/>
        </w:rPr>
      </w:pPr>
      <w:r>
        <w:rPr>
          <w:rFonts w:hint="eastAsia"/>
          <w:sz w:val="24"/>
        </w:rPr>
        <w:t>五、委托人同意按照本合同规定的期限、方式、币种、额度向咨询人支付酬金。</w:t>
      </w:r>
    </w:p>
    <w:p w14:paraId="22FFC076">
      <w:pPr>
        <w:spacing w:line="336" w:lineRule="auto"/>
        <w:ind w:firstLine="480"/>
        <w:rPr>
          <w:rFonts w:hint="eastAsia"/>
          <w:sz w:val="24"/>
        </w:rPr>
      </w:pPr>
      <w:r>
        <w:rPr>
          <w:rFonts w:hint="eastAsia"/>
          <w:sz w:val="24"/>
        </w:rPr>
        <w:t>六、本合同的建设工程造价咨询业务自</w:t>
      </w:r>
      <w:r>
        <w:rPr>
          <w:rFonts w:hint="eastAsia"/>
          <w:sz w:val="24"/>
          <w:u w:val="single"/>
          <w:lang w:val="en-US" w:eastAsia="zh-CN"/>
        </w:rPr>
        <w:t>接收资料</w:t>
      </w:r>
      <w:r>
        <w:rPr>
          <w:rFonts w:hint="eastAsia"/>
          <w:sz w:val="24"/>
        </w:rPr>
        <w:t>开始实施，至</w:t>
      </w:r>
      <w:r>
        <w:rPr>
          <w:rFonts w:hint="eastAsia"/>
          <w:sz w:val="24"/>
          <w:u w:val="single" w:color="auto"/>
          <w:lang w:val="en-US" w:eastAsia="zh-CN"/>
        </w:rPr>
        <w:t>7</w:t>
      </w:r>
      <w:r>
        <w:rPr>
          <w:rFonts w:hint="eastAsia"/>
          <w:sz w:val="24"/>
        </w:rPr>
        <w:t>个工作日出具初稿。</w:t>
      </w:r>
    </w:p>
    <w:p w14:paraId="785C9775">
      <w:pPr>
        <w:spacing w:line="336" w:lineRule="auto"/>
        <w:ind w:firstLine="480"/>
        <w:rPr>
          <w:rFonts w:hint="eastAsia"/>
          <w:sz w:val="24"/>
        </w:rPr>
      </w:pPr>
      <w:r>
        <w:rPr>
          <w:rFonts w:hint="eastAsia"/>
          <w:sz w:val="24"/>
        </w:rPr>
        <w:t>七、本合同壹式</w:t>
      </w:r>
      <w:r>
        <w:rPr>
          <w:rFonts w:hint="eastAsia"/>
          <w:sz w:val="24"/>
          <w:u w:val="single"/>
          <w:lang w:val="en-US" w:eastAsia="zh-CN"/>
        </w:rPr>
        <w:t>陆</w:t>
      </w:r>
      <w:r>
        <w:rPr>
          <w:rFonts w:hint="eastAsia"/>
          <w:sz w:val="24"/>
        </w:rPr>
        <w:t>份，具有同等法律效力，双方各执</w:t>
      </w:r>
      <w:r>
        <w:rPr>
          <w:rFonts w:hint="eastAsia"/>
          <w:sz w:val="24"/>
          <w:u w:val="single"/>
          <w:lang w:val="en-US" w:eastAsia="zh-CN"/>
        </w:rPr>
        <w:t>叁</w:t>
      </w:r>
      <w:r>
        <w:rPr>
          <w:rFonts w:hint="eastAsia"/>
          <w:sz w:val="24"/>
        </w:rPr>
        <w:t>份。</w:t>
      </w:r>
    </w:p>
    <w:p w14:paraId="27FEC8BE">
      <w:pPr>
        <w:widowControl/>
        <w:jc w:val="left"/>
      </w:pPr>
    </w:p>
    <w:p w14:paraId="03BE9A82">
      <w:pPr>
        <w:widowControl/>
        <w:jc w:val="left"/>
      </w:pPr>
    </w:p>
    <w:p w14:paraId="25CA1106">
      <w:pPr>
        <w:widowControl/>
        <w:jc w:val="left"/>
      </w:pPr>
    </w:p>
    <w:p w14:paraId="6C54EDA2">
      <w:pPr>
        <w:spacing w:line="360" w:lineRule="auto"/>
        <w:rPr>
          <w:szCs w:val="26"/>
        </w:rPr>
      </w:pPr>
      <w:r>
        <w:rPr>
          <w:rFonts w:hint="eastAsia"/>
          <w:szCs w:val="26"/>
        </w:rPr>
        <w:t>甲方（公章</w:t>
      </w:r>
      <w:r>
        <w:rPr>
          <w:szCs w:val="26"/>
        </w:rPr>
        <w:t>）</w:t>
      </w:r>
      <w:r>
        <w:rPr>
          <w:rFonts w:hint="eastAsia"/>
          <w:szCs w:val="26"/>
        </w:rPr>
        <w:t xml:space="preserve">：                     </w:t>
      </w:r>
      <w:r>
        <w:rPr>
          <w:szCs w:val="26"/>
        </w:rPr>
        <w:t xml:space="preserve"> </w:t>
      </w:r>
      <w:r>
        <w:rPr>
          <w:rFonts w:hint="eastAsia"/>
          <w:szCs w:val="26"/>
        </w:rPr>
        <w:t xml:space="preserve"> </w:t>
      </w:r>
      <w:r>
        <w:rPr>
          <w:szCs w:val="26"/>
        </w:rPr>
        <w:t xml:space="preserve"> </w:t>
      </w:r>
      <w:r>
        <w:rPr>
          <w:rFonts w:hint="eastAsia"/>
          <w:szCs w:val="26"/>
        </w:rPr>
        <w:t>乙方（公章</w:t>
      </w:r>
      <w:r>
        <w:rPr>
          <w:szCs w:val="26"/>
        </w:rPr>
        <w:t>）：</w:t>
      </w:r>
    </w:p>
    <w:p w14:paraId="046F1F34">
      <w:pPr>
        <w:spacing w:line="360" w:lineRule="auto"/>
        <w:rPr>
          <w:szCs w:val="26"/>
        </w:rPr>
      </w:pPr>
      <w:r>
        <w:rPr>
          <w:rFonts w:hint="eastAsia"/>
          <w:szCs w:val="26"/>
        </w:rPr>
        <w:t>代表</w:t>
      </w:r>
      <w:r>
        <w:rPr>
          <w:szCs w:val="26"/>
        </w:rPr>
        <w:t>（</w:t>
      </w:r>
      <w:r>
        <w:rPr>
          <w:rFonts w:hint="eastAsia"/>
          <w:szCs w:val="26"/>
        </w:rPr>
        <w:t>签字</w:t>
      </w:r>
      <w:r>
        <w:rPr>
          <w:szCs w:val="26"/>
        </w:rPr>
        <w:t>）</w:t>
      </w:r>
      <w:r>
        <w:rPr>
          <w:rFonts w:hint="eastAsia"/>
          <w:szCs w:val="26"/>
        </w:rPr>
        <w:t xml:space="preserve">： </w:t>
      </w:r>
      <w:r>
        <w:rPr>
          <w:szCs w:val="26"/>
        </w:rPr>
        <w:t xml:space="preserve">                       </w:t>
      </w:r>
      <w:r>
        <w:rPr>
          <w:rFonts w:hint="eastAsia"/>
          <w:szCs w:val="26"/>
        </w:rPr>
        <w:t>代表</w:t>
      </w:r>
      <w:r>
        <w:rPr>
          <w:szCs w:val="26"/>
        </w:rPr>
        <w:t>（</w:t>
      </w:r>
      <w:r>
        <w:rPr>
          <w:rFonts w:hint="eastAsia"/>
          <w:szCs w:val="26"/>
        </w:rPr>
        <w:t>签字</w:t>
      </w:r>
      <w:r>
        <w:rPr>
          <w:szCs w:val="26"/>
        </w:rPr>
        <w:t>）</w:t>
      </w:r>
      <w:r>
        <w:rPr>
          <w:rFonts w:hint="eastAsia"/>
          <w:szCs w:val="26"/>
        </w:rPr>
        <w:t>：</w:t>
      </w:r>
    </w:p>
    <w:p w14:paraId="5DBA7C95">
      <w:pPr>
        <w:spacing w:line="360" w:lineRule="auto"/>
        <w:ind w:firstLine="1560" w:firstLineChars="650"/>
        <w:rPr>
          <w:szCs w:val="26"/>
        </w:rPr>
      </w:pPr>
      <w:r>
        <w:rPr>
          <w:rFonts w:hint="eastAsia"/>
          <w:szCs w:val="26"/>
        </w:rPr>
        <w:t xml:space="preserve">年 </w:t>
      </w:r>
      <w:r>
        <w:rPr>
          <w:szCs w:val="26"/>
        </w:rPr>
        <w:t xml:space="preserve">  </w:t>
      </w:r>
      <w:r>
        <w:rPr>
          <w:rFonts w:hint="eastAsia"/>
          <w:szCs w:val="26"/>
        </w:rPr>
        <w:t>月</w:t>
      </w:r>
      <w:r>
        <w:rPr>
          <w:szCs w:val="26"/>
        </w:rPr>
        <w:t xml:space="preserve">  </w:t>
      </w:r>
      <w:r>
        <w:rPr>
          <w:rFonts w:hint="eastAsia"/>
          <w:szCs w:val="26"/>
        </w:rPr>
        <w:t xml:space="preserve"> 日                  </w:t>
      </w:r>
      <w:r>
        <w:rPr>
          <w:szCs w:val="26"/>
        </w:rPr>
        <w:t xml:space="preserve">   </w:t>
      </w:r>
      <w:r>
        <w:rPr>
          <w:rFonts w:hint="eastAsia"/>
          <w:szCs w:val="26"/>
        </w:rPr>
        <w:t xml:space="preserve"> </w:t>
      </w:r>
      <w:r>
        <w:rPr>
          <w:szCs w:val="26"/>
        </w:rPr>
        <w:t xml:space="preserve">   </w:t>
      </w:r>
      <w:r>
        <w:rPr>
          <w:rFonts w:hint="eastAsia"/>
          <w:szCs w:val="26"/>
        </w:rPr>
        <w:t xml:space="preserve">年 </w:t>
      </w:r>
      <w:r>
        <w:rPr>
          <w:szCs w:val="26"/>
        </w:rPr>
        <w:t xml:space="preserve"> </w:t>
      </w:r>
      <w:r>
        <w:rPr>
          <w:rFonts w:hint="eastAsia"/>
          <w:szCs w:val="26"/>
        </w:rPr>
        <w:t xml:space="preserve"> 月  </w:t>
      </w:r>
      <w:r>
        <w:rPr>
          <w:szCs w:val="26"/>
        </w:rPr>
        <w:t xml:space="preserve"> </w:t>
      </w:r>
      <w:r>
        <w:rPr>
          <w:rFonts w:hint="eastAsia"/>
          <w:szCs w:val="26"/>
        </w:rPr>
        <w:t>日</w:t>
      </w:r>
    </w:p>
    <w:p w14:paraId="49BBDCC4">
      <w:pPr>
        <w:widowControl/>
        <w:jc w:val="left"/>
      </w:pPr>
    </w:p>
    <w:p w14:paraId="24871DCB">
      <w:pPr>
        <w:widowControl/>
        <w:jc w:val="left"/>
      </w:pPr>
    </w:p>
    <w:p w14:paraId="6A813834">
      <w:pPr>
        <w:widowControl/>
        <w:jc w:val="left"/>
        <w:rPr>
          <w:rFonts w:ascii="宋体" w:hAnsi="宋体"/>
          <w:szCs w:val="24"/>
        </w:rPr>
      </w:pPr>
      <w:r>
        <w:rPr>
          <w:rFonts w:ascii="宋体" w:hAnsi="宋体"/>
          <w:szCs w:val="24"/>
        </w:rPr>
        <w:br w:type="page"/>
      </w:r>
    </w:p>
    <w:p w14:paraId="46266552">
      <w:pPr>
        <w:pStyle w:val="51"/>
        <w:bidi w:val="0"/>
        <w:rPr>
          <w:rFonts w:hint="eastAsia" w:ascii="Times New Roman" w:hAnsi="Times New Roman" w:eastAsia="宋体"/>
          <w:lang w:val="en-US" w:eastAsia="zh-CN"/>
        </w:rPr>
      </w:pPr>
      <w:bookmarkStart w:id="30" w:name="_Toc28778"/>
      <w:bookmarkStart w:id="31" w:name="_Toc13775"/>
      <w:bookmarkStart w:id="32" w:name="_Toc6287"/>
      <w:r>
        <w:rPr>
          <w:rFonts w:hint="eastAsia" w:ascii="Times New Roman" w:hAnsi="Times New Roman" w:eastAsia="宋体"/>
          <w:lang w:val="en-US" w:eastAsia="zh-CN"/>
        </w:rPr>
        <w:t xml:space="preserve">第五章 </w:t>
      </w:r>
      <w:bookmarkEnd w:id="30"/>
      <w:bookmarkEnd w:id="31"/>
      <w:r>
        <w:rPr>
          <w:rFonts w:hint="eastAsia" w:ascii="Times New Roman" w:hAnsi="Times New Roman" w:eastAsia="宋体"/>
          <w:lang w:val="en-US" w:eastAsia="zh-CN"/>
        </w:rPr>
        <w:t>采购需求表及采购要求</w:t>
      </w:r>
      <w:bookmarkEnd w:id="32"/>
    </w:p>
    <w:p w14:paraId="4A9AC436">
      <w:pPr>
        <w:pStyle w:val="3"/>
        <w:jc w:val="both"/>
        <w:rPr>
          <w:rFonts w:hint="eastAsia" w:ascii="宋体" w:hAnsi="宋体" w:eastAsia="宋体" w:cs="仿宋"/>
          <w:sz w:val="30"/>
          <w:szCs w:val="30"/>
        </w:rPr>
      </w:pPr>
      <w:bookmarkStart w:id="33" w:name="_Toc3991"/>
      <w:bookmarkStart w:id="34" w:name="_Toc29885"/>
      <w:r>
        <w:rPr>
          <w:rFonts w:hint="eastAsia" w:ascii="仿宋" w:hAnsi="仿宋" w:eastAsia="仿宋" w:cs="仿宋"/>
        </w:rPr>
        <w:t>一、采购需求表</w:t>
      </w:r>
      <w:bookmarkEnd w:id="33"/>
      <w:bookmarkEnd w:id="34"/>
    </w:p>
    <w:p w14:paraId="0ECF56BA">
      <w:pPr>
        <w:jc w:val="center"/>
        <w:rPr>
          <w:rFonts w:hint="eastAsia" w:ascii="宋体" w:hAnsi="宋体" w:eastAsia="宋体" w:cs="仿宋"/>
        </w:rPr>
      </w:pPr>
    </w:p>
    <w:tbl>
      <w:tblPr>
        <w:tblStyle w:val="28"/>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9"/>
        <w:gridCol w:w="6100"/>
      </w:tblGrid>
      <w:tr w14:paraId="061A3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8" w:hRule="atLeast"/>
        </w:trPr>
        <w:tc>
          <w:tcPr>
            <w:tcW w:w="2979" w:type="dxa"/>
            <w:tcBorders>
              <w:top w:val="single" w:color="auto" w:sz="12" w:space="0"/>
              <w:left w:val="single" w:color="auto" w:sz="12" w:space="0"/>
              <w:tl2br w:val="single" w:color="auto" w:sz="4" w:space="0"/>
            </w:tcBorders>
            <w:noWrap w:val="0"/>
            <w:vAlign w:val="top"/>
          </w:tcPr>
          <w:p w14:paraId="155EF6F1">
            <w:pPr>
              <w:spacing w:line="500" w:lineRule="atLeast"/>
              <w:rPr>
                <w:rFonts w:hint="eastAsia" w:ascii="宋体" w:hAnsi="宋体" w:eastAsia="宋体" w:cs="仿宋"/>
                <w:sz w:val="24"/>
              </w:rPr>
            </w:pPr>
            <w:r>
              <w:rPr>
                <w:rFonts w:hint="eastAsia" w:ascii="宋体" w:hAnsi="宋体" w:eastAsia="宋体" w:cs="仿宋"/>
                <w:sz w:val="24"/>
              </w:rPr>
              <w:t xml:space="preserve">      </w:t>
            </w:r>
          </w:p>
          <w:p w14:paraId="068F9C05">
            <w:pPr>
              <w:spacing w:line="500" w:lineRule="atLeast"/>
              <w:rPr>
                <w:rFonts w:hint="eastAsia" w:ascii="宋体" w:hAnsi="宋体" w:eastAsia="宋体" w:cs="仿宋"/>
                <w:sz w:val="24"/>
                <w:szCs w:val="24"/>
              </w:rPr>
            </w:pPr>
            <w:r>
              <w:rPr>
                <w:rFonts w:hint="eastAsia" w:ascii="宋体" w:hAnsi="宋体" w:eastAsia="宋体" w:cs="仿宋"/>
                <w:sz w:val="24"/>
              </w:rPr>
              <w:t xml:space="preserve">        </w:t>
            </w:r>
            <w:r>
              <w:rPr>
                <w:rFonts w:hint="eastAsia" w:ascii="宋体" w:hAnsi="宋体" w:eastAsia="宋体" w:cs="仿宋"/>
                <w:sz w:val="24"/>
                <w:szCs w:val="24"/>
              </w:rPr>
              <w:t xml:space="preserve"> 采购条目名称</w:t>
            </w:r>
          </w:p>
          <w:p w14:paraId="20BD13FE">
            <w:pPr>
              <w:pStyle w:val="3"/>
              <w:spacing w:before="0" w:after="0" w:line="500" w:lineRule="atLeast"/>
              <w:rPr>
                <w:rFonts w:hint="eastAsia" w:ascii="宋体" w:hAnsi="宋体" w:eastAsia="宋体" w:cs="Times New Roman"/>
                <w:b w:val="0"/>
                <w:sz w:val="24"/>
                <w:szCs w:val="24"/>
              </w:rPr>
            </w:pPr>
            <w:r>
              <w:rPr>
                <w:rFonts w:hint="eastAsia" w:ascii="宋体" w:hAnsi="宋体" w:eastAsia="宋体" w:cs="Times New Roman"/>
                <w:b w:val="0"/>
                <w:sz w:val="24"/>
                <w:szCs w:val="24"/>
              </w:rPr>
              <w:t xml:space="preserve">   </w:t>
            </w:r>
          </w:p>
          <w:p w14:paraId="0D5E6C55">
            <w:pPr>
              <w:pStyle w:val="3"/>
              <w:spacing w:before="0" w:after="0" w:line="500" w:lineRule="atLeast"/>
              <w:rPr>
                <w:rFonts w:hint="eastAsia" w:cs="Times New Roman"/>
              </w:rPr>
            </w:pPr>
            <w:r>
              <w:rPr>
                <w:rFonts w:hint="eastAsia" w:ascii="宋体" w:hAnsi="宋体" w:eastAsia="宋体" w:cs="Times New Roman"/>
                <w:b w:val="0"/>
                <w:sz w:val="24"/>
                <w:szCs w:val="24"/>
              </w:rPr>
              <w:t xml:space="preserve">    </w:t>
            </w:r>
            <w:bookmarkStart w:id="35" w:name="_Toc22300"/>
            <w:bookmarkStart w:id="36" w:name="_Toc2821"/>
            <w:r>
              <w:rPr>
                <w:rFonts w:hint="eastAsia" w:ascii="宋体" w:hAnsi="宋体" w:eastAsia="宋体" w:cs="Times New Roman"/>
                <w:b w:val="0"/>
                <w:sz w:val="24"/>
                <w:szCs w:val="24"/>
              </w:rPr>
              <w:t>内容</w:t>
            </w:r>
            <w:bookmarkEnd w:id="35"/>
            <w:bookmarkEnd w:id="36"/>
          </w:p>
        </w:tc>
        <w:tc>
          <w:tcPr>
            <w:tcW w:w="6100" w:type="dxa"/>
            <w:tcBorders>
              <w:top w:val="single" w:color="auto" w:sz="12" w:space="0"/>
              <w:right w:val="single" w:color="auto" w:sz="12" w:space="0"/>
            </w:tcBorders>
            <w:noWrap w:val="0"/>
            <w:vAlign w:val="center"/>
          </w:tcPr>
          <w:p w14:paraId="5B22B8A3">
            <w:pPr>
              <w:spacing w:line="360" w:lineRule="auto"/>
              <w:jc w:val="center"/>
              <w:rPr>
                <w:rFonts w:hint="eastAsia" w:ascii="宋体" w:hAnsi="宋体" w:eastAsia="宋体" w:cs="仿宋"/>
                <w:sz w:val="24"/>
              </w:rPr>
            </w:pPr>
            <w:r>
              <w:rPr>
                <w:rFonts w:hint="eastAsia"/>
                <w:lang w:val="en-US" w:eastAsia="zh-Hans"/>
              </w:rPr>
              <w:t>赣江新区人民医院</w:t>
            </w:r>
            <w:r>
              <w:rPr>
                <w:rFonts w:hint="eastAsia" w:eastAsia="宋体"/>
                <w:lang w:val="en-US" w:eastAsia="zh-CN"/>
              </w:rPr>
              <w:t>工程</w:t>
            </w:r>
            <w:r>
              <w:rPr>
                <w:rFonts w:hint="eastAsia"/>
                <w:lang w:val="en-US" w:eastAsia="zh-Hans"/>
              </w:rPr>
              <w:t>造价咨询服务</w:t>
            </w:r>
            <w:r>
              <w:rPr>
                <w:rFonts w:hint="eastAsia"/>
                <w:lang w:val="en-US" w:eastAsia="zh-CN"/>
              </w:rPr>
              <w:t>采购</w:t>
            </w:r>
            <w:r>
              <w:rPr>
                <w:rFonts w:hint="eastAsia" w:ascii="宋体" w:hAnsi="宋体" w:eastAsia="宋体" w:cs="仿宋"/>
                <w:sz w:val="24"/>
              </w:rPr>
              <w:t>项目</w:t>
            </w:r>
          </w:p>
        </w:tc>
      </w:tr>
      <w:tr w14:paraId="2378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2979" w:type="dxa"/>
            <w:tcBorders>
              <w:left w:val="single" w:color="auto" w:sz="12" w:space="0"/>
            </w:tcBorders>
            <w:noWrap w:val="0"/>
            <w:vAlign w:val="center"/>
          </w:tcPr>
          <w:p w14:paraId="31A02B55">
            <w:pPr>
              <w:spacing w:line="500" w:lineRule="exact"/>
              <w:jc w:val="center"/>
              <w:rPr>
                <w:rFonts w:hint="eastAsia" w:ascii="宋体" w:hAnsi="宋体" w:eastAsia="宋体" w:cs="仿宋"/>
                <w:sz w:val="24"/>
                <w:szCs w:val="24"/>
              </w:rPr>
            </w:pPr>
            <w:r>
              <w:rPr>
                <w:rFonts w:hint="eastAsia" w:ascii="宋体" w:hAnsi="宋体" w:eastAsia="宋体" w:cs="宋体"/>
                <w:sz w:val="24"/>
                <w:szCs w:val="24"/>
                <w:lang w:eastAsia="zh-CN"/>
              </w:rPr>
              <w:t>招标控制价</w:t>
            </w:r>
          </w:p>
        </w:tc>
        <w:tc>
          <w:tcPr>
            <w:tcW w:w="6100" w:type="dxa"/>
            <w:tcBorders>
              <w:right w:val="single" w:color="auto" w:sz="12" w:space="0"/>
            </w:tcBorders>
            <w:noWrap w:val="0"/>
            <w:vAlign w:val="center"/>
          </w:tcPr>
          <w:p w14:paraId="6F222DE2">
            <w:pPr>
              <w:spacing w:line="500" w:lineRule="exact"/>
              <w:jc w:val="center"/>
              <w:rPr>
                <w:rFonts w:hint="default" w:ascii="宋体" w:hAnsi="宋体" w:eastAsia="宋体" w:cs="仿宋"/>
                <w:sz w:val="24"/>
                <w:szCs w:val="24"/>
                <w:lang w:val="en-US"/>
              </w:rPr>
            </w:pPr>
            <w:r>
              <w:rPr>
                <w:rFonts w:hint="eastAsia" w:ascii="宋体" w:hAnsi="宋体"/>
                <w:spacing w:val="-10"/>
                <w:sz w:val="24"/>
                <w:szCs w:val="24"/>
                <w:lang w:val="en-US" w:eastAsia="zh-CN"/>
              </w:rPr>
              <w:t>4083元/月，全年共计4.9万元</w:t>
            </w:r>
          </w:p>
        </w:tc>
      </w:tr>
      <w:tr w14:paraId="031C9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2979" w:type="dxa"/>
            <w:tcBorders>
              <w:left w:val="single" w:color="auto" w:sz="12" w:space="0"/>
            </w:tcBorders>
            <w:noWrap w:val="0"/>
            <w:vAlign w:val="center"/>
          </w:tcPr>
          <w:p w14:paraId="7BFC6EFA">
            <w:pPr>
              <w:spacing w:line="500" w:lineRule="exact"/>
              <w:jc w:val="center"/>
              <w:rPr>
                <w:rFonts w:hint="eastAsia" w:ascii="宋体" w:hAnsi="宋体" w:eastAsia="宋体" w:cs="仿宋"/>
                <w:sz w:val="24"/>
                <w:szCs w:val="24"/>
              </w:rPr>
            </w:pPr>
            <w:r>
              <w:rPr>
                <w:rFonts w:hint="eastAsia" w:ascii="宋体" w:hAnsi="宋体" w:eastAsia="宋体" w:cs="仿宋"/>
                <w:sz w:val="24"/>
                <w:szCs w:val="24"/>
              </w:rPr>
              <w:t>服务期</w:t>
            </w:r>
          </w:p>
        </w:tc>
        <w:tc>
          <w:tcPr>
            <w:tcW w:w="6100" w:type="dxa"/>
            <w:tcBorders>
              <w:right w:val="single" w:color="auto" w:sz="12" w:space="0"/>
            </w:tcBorders>
            <w:noWrap w:val="0"/>
            <w:vAlign w:val="center"/>
          </w:tcPr>
          <w:p w14:paraId="35BC6580">
            <w:pPr>
              <w:spacing w:line="500" w:lineRule="exact"/>
              <w:jc w:val="center"/>
              <w:rPr>
                <w:rFonts w:hint="eastAsia" w:ascii="宋体" w:hAnsi="宋体" w:eastAsia="宋体" w:cs="仿宋"/>
                <w:sz w:val="24"/>
                <w:szCs w:val="24"/>
              </w:rPr>
            </w:pPr>
            <w:r>
              <w:rPr>
                <w:rFonts w:hint="eastAsia" w:ascii="宋体" w:hAnsi="宋体" w:eastAsia="宋体" w:cs="仿宋"/>
                <w:sz w:val="24"/>
                <w:szCs w:val="24"/>
              </w:rPr>
              <w:t>合同签订后一年</w:t>
            </w:r>
          </w:p>
        </w:tc>
      </w:tr>
      <w:tr w14:paraId="42673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2979" w:type="dxa"/>
            <w:tcBorders>
              <w:left w:val="single" w:color="auto" w:sz="12" w:space="0"/>
            </w:tcBorders>
            <w:noWrap w:val="0"/>
            <w:vAlign w:val="center"/>
          </w:tcPr>
          <w:p w14:paraId="0D40DE7B">
            <w:pPr>
              <w:spacing w:line="500" w:lineRule="exact"/>
              <w:jc w:val="center"/>
              <w:rPr>
                <w:rFonts w:hint="eastAsia" w:ascii="宋体" w:hAnsi="宋体" w:eastAsia="宋体" w:cs="仿宋"/>
                <w:sz w:val="24"/>
                <w:szCs w:val="24"/>
              </w:rPr>
            </w:pPr>
            <w:r>
              <w:rPr>
                <w:rFonts w:hint="eastAsia" w:ascii="宋体" w:hAnsi="宋体" w:eastAsia="宋体" w:cs="仿宋"/>
                <w:sz w:val="24"/>
                <w:szCs w:val="24"/>
              </w:rPr>
              <w:t>服务地点</w:t>
            </w:r>
          </w:p>
        </w:tc>
        <w:tc>
          <w:tcPr>
            <w:tcW w:w="6100" w:type="dxa"/>
            <w:tcBorders>
              <w:right w:val="single" w:color="auto" w:sz="12" w:space="0"/>
            </w:tcBorders>
            <w:noWrap w:val="0"/>
            <w:vAlign w:val="center"/>
          </w:tcPr>
          <w:p w14:paraId="29AB3CBA">
            <w:pPr>
              <w:spacing w:line="500" w:lineRule="exact"/>
              <w:jc w:val="center"/>
              <w:rPr>
                <w:rFonts w:ascii="宋体" w:hAnsi="宋体" w:eastAsia="宋体" w:cs="仿宋"/>
                <w:sz w:val="24"/>
                <w:szCs w:val="24"/>
              </w:rPr>
            </w:pPr>
            <w:r>
              <w:rPr>
                <w:rFonts w:hint="eastAsia" w:ascii="宋体" w:hAnsi="宋体" w:eastAsia="宋体" w:cs="仿宋"/>
                <w:sz w:val="24"/>
                <w:szCs w:val="24"/>
              </w:rPr>
              <w:t>采购人指定地点</w:t>
            </w:r>
          </w:p>
        </w:tc>
      </w:tr>
      <w:tr w14:paraId="792D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2979" w:type="dxa"/>
            <w:tcBorders>
              <w:left w:val="single" w:color="auto" w:sz="12" w:space="0"/>
            </w:tcBorders>
            <w:noWrap w:val="0"/>
            <w:vAlign w:val="center"/>
          </w:tcPr>
          <w:p w14:paraId="67AE2C7B">
            <w:pPr>
              <w:spacing w:line="900" w:lineRule="exact"/>
              <w:jc w:val="center"/>
              <w:rPr>
                <w:rFonts w:hint="eastAsia" w:ascii="宋体" w:hAnsi="宋体" w:eastAsia="宋体" w:cs="仿宋"/>
                <w:sz w:val="24"/>
              </w:rPr>
            </w:pPr>
            <w:r>
              <w:rPr>
                <w:rFonts w:hint="eastAsia" w:ascii="宋体" w:hAnsi="宋体" w:eastAsia="宋体" w:cs="仿宋"/>
                <w:sz w:val="24"/>
              </w:rPr>
              <w:t>备注</w:t>
            </w:r>
          </w:p>
        </w:tc>
        <w:tc>
          <w:tcPr>
            <w:tcW w:w="6100" w:type="dxa"/>
            <w:tcBorders>
              <w:right w:val="single" w:color="auto" w:sz="12" w:space="0"/>
            </w:tcBorders>
            <w:noWrap w:val="0"/>
            <w:vAlign w:val="center"/>
          </w:tcPr>
          <w:p w14:paraId="524AA7AE">
            <w:pPr>
              <w:spacing w:line="520" w:lineRule="exact"/>
              <w:rPr>
                <w:rFonts w:hint="eastAsia" w:ascii="宋体" w:hAnsi="宋体" w:eastAsia="宋体" w:cs="仿宋"/>
                <w:sz w:val="24"/>
              </w:rPr>
            </w:pPr>
            <w:r>
              <w:rPr>
                <w:rFonts w:hint="eastAsia" w:ascii="宋体" w:hAnsi="宋体" w:eastAsia="宋体" w:cs="仿宋"/>
                <w:sz w:val="24"/>
                <w:szCs w:val="24"/>
              </w:rPr>
              <w:t xml:space="preserve">  </w:t>
            </w:r>
            <w:r>
              <w:rPr>
                <w:rFonts w:hint="eastAsia" w:ascii="宋体" w:hAnsi="宋体" w:eastAsia="宋体" w:cs="宋体"/>
                <w:sz w:val="24"/>
                <w:szCs w:val="24"/>
                <w:lang w:eastAsia="zh-CN"/>
              </w:rPr>
              <w:t>响应</w:t>
            </w:r>
            <w:r>
              <w:rPr>
                <w:rFonts w:hint="eastAsia" w:ascii="宋体" w:hAnsi="宋体" w:eastAsia="宋体" w:cs="宋体"/>
                <w:sz w:val="24"/>
                <w:szCs w:val="24"/>
              </w:rPr>
              <w:t>报价应包含人员工资福利、缴纳各项保险费、国家法定假日加班费、办公设备及办公费、管理费、利润及税金等完成本项目服务要求所需的全部费用。</w:t>
            </w:r>
          </w:p>
        </w:tc>
      </w:tr>
    </w:tbl>
    <w:p w14:paraId="6F0547E8">
      <w:pPr>
        <w:pStyle w:val="3"/>
        <w:jc w:val="both"/>
        <w:rPr>
          <w:rFonts w:hint="default" w:ascii="仿宋" w:hAnsi="仿宋" w:eastAsia="仿宋" w:cs="仿宋"/>
          <w:lang w:val="en-US" w:eastAsia="zh-CN"/>
        </w:rPr>
      </w:pPr>
      <w:bookmarkStart w:id="37" w:name="_Toc12087"/>
      <w:r>
        <w:rPr>
          <w:rFonts w:hint="eastAsia" w:ascii="仿宋" w:hAnsi="仿宋" w:eastAsia="仿宋" w:cs="仿宋"/>
          <w:lang w:val="en-US" w:eastAsia="zh-CN"/>
        </w:rPr>
        <w:t>二、采购要求</w:t>
      </w:r>
      <w:bookmarkEnd w:id="37"/>
    </w:p>
    <w:p w14:paraId="6EFCB29D">
      <w:pPr>
        <w:pStyle w:val="9"/>
        <w:spacing w:after="0"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（一）技术需求</w:t>
      </w:r>
    </w:p>
    <w:p w14:paraId="7009A877">
      <w:pPr>
        <w:pStyle w:val="43"/>
        <w:numPr>
          <w:ilvl w:val="0"/>
          <w:numId w:val="6"/>
        </w:numPr>
        <w:spacing w:line="360" w:lineRule="exact"/>
        <w:ind w:firstLine="480"/>
        <w:rPr>
          <w:rFonts w:hint="eastAsia"/>
          <w:lang w:val="en-US" w:eastAsia="zh-CN"/>
        </w:rPr>
      </w:pPr>
      <w:r>
        <w:rPr>
          <w:rFonts w:hint="eastAsia"/>
          <w:lang w:val="en-US" w:eastAsia="zh-Hans"/>
        </w:rPr>
        <w:t>根据委托人要求完成单个项目编制工程量清单控制价或施工图预算、进度款、签证费用等进行审核，签署意见并加盖单位公章</w:t>
      </w:r>
      <w:r>
        <w:rPr>
          <w:rFonts w:hint="eastAsia"/>
          <w:lang w:val="en-US" w:eastAsia="zh-CN"/>
        </w:rPr>
        <w:t>；</w:t>
      </w:r>
    </w:p>
    <w:p w14:paraId="623D769F">
      <w:pPr>
        <w:pStyle w:val="43"/>
        <w:numPr>
          <w:ilvl w:val="0"/>
          <w:numId w:val="6"/>
        </w:numPr>
        <w:spacing w:line="360" w:lineRule="exact"/>
        <w:ind w:firstLine="480"/>
        <w:rPr>
          <w:rFonts w:hint="eastAsia"/>
          <w:lang w:val="en-US" w:eastAsia="zh-CN"/>
        </w:rPr>
      </w:pPr>
      <w:r>
        <w:rPr>
          <w:rFonts w:hint="eastAsia"/>
          <w:lang w:val="en-US" w:eastAsia="zh-CN"/>
        </w:rPr>
        <w:t>要求提供驻场服务，每个星期至少两天，驻场时间为上午8：00——下午5:30，办公地点由委托人提供。</w:t>
      </w:r>
    </w:p>
    <w:p w14:paraId="5AF11748">
      <w:pPr>
        <w:pStyle w:val="43"/>
        <w:numPr>
          <w:ilvl w:val="0"/>
          <w:numId w:val="6"/>
        </w:numPr>
        <w:spacing w:line="360" w:lineRule="exact"/>
        <w:ind w:firstLine="480"/>
        <w:rPr>
          <w:rFonts w:hint="eastAsia"/>
          <w:lang w:val="en-US" w:eastAsia="zh-CN"/>
        </w:rPr>
      </w:pPr>
      <w:r>
        <w:rPr>
          <w:rFonts w:hint="eastAsia"/>
          <w:lang w:val="en-US" w:eastAsia="zh-CN"/>
        </w:rPr>
        <w:t>提供必要的造价咨询培训，帮助委托人更好地审核相关费用。</w:t>
      </w:r>
    </w:p>
    <w:p w14:paraId="011BAC52">
      <w:pPr>
        <w:pStyle w:val="19"/>
        <w:rPr>
          <w:rFonts w:hint="eastAsia"/>
          <w:b w:val="0"/>
          <w:bCs/>
          <w:color w:val="auto"/>
          <w:spacing w:val="-10"/>
          <w:sz w:val="24"/>
          <w:szCs w:val="24"/>
          <w:lang w:eastAsia="zh-CN"/>
        </w:rPr>
      </w:pPr>
    </w:p>
    <w:p w14:paraId="0381F04C">
      <w:pPr>
        <w:pStyle w:val="19"/>
        <w:rPr>
          <w:rFonts w:hint="eastAsia"/>
          <w:b w:val="0"/>
          <w:bCs/>
          <w:color w:val="auto"/>
          <w:spacing w:val="-10"/>
          <w:sz w:val="24"/>
          <w:szCs w:val="24"/>
          <w:lang w:eastAsia="zh-CN"/>
        </w:rPr>
      </w:pPr>
    </w:p>
    <w:p w14:paraId="360FF067">
      <w:pPr>
        <w:pStyle w:val="19"/>
        <w:rPr>
          <w:rFonts w:hint="eastAsia"/>
          <w:b w:val="0"/>
          <w:bCs/>
          <w:color w:val="auto"/>
          <w:spacing w:val="-10"/>
          <w:sz w:val="24"/>
          <w:szCs w:val="24"/>
          <w:lang w:eastAsia="zh-CN"/>
        </w:rPr>
      </w:pPr>
    </w:p>
    <w:p w14:paraId="30B32281">
      <w:pPr>
        <w:pStyle w:val="19"/>
        <w:rPr>
          <w:rFonts w:hint="eastAsia"/>
          <w:lang w:eastAsia="zh-CN"/>
        </w:rPr>
      </w:pPr>
    </w:p>
    <w:p w14:paraId="6C20DA80">
      <w:pPr>
        <w:pStyle w:val="19"/>
        <w:rPr>
          <w:rFonts w:hint="eastAsia"/>
          <w:lang w:eastAsia="zh-CN"/>
        </w:rPr>
      </w:pPr>
    </w:p>
    <w:p w14:paraId="5DA472B0">
      <w:pPr>
        <w:pStyle w:val="19"/>
        <w:rPr>
          <w:rFonts w:hint="eastAsia"/>
          <w:lang w:eastAsia="zh-CN"/>
        </w:rPr>
      </w:pPr>
    </w:p>
    <w:p w14:paraId="2A3B32ED">
      <w:pPr>
        <w:pStyle w:val="19"/>
        <w:numPr>
          <w:ilvl w:val="0"/>
          <w:numId w:val="0"/>
        </w:numPr>
        <w:ind w:firstLine="480" w:firstLineChars="200"/>
        <w:jc w:val="right"/>
        <w:rPr>
          <w:rFonts w:hint="eastAsia" w:ascii="宋体" w:hAnsi="宋体" w:eastAsia="宋体" w:cs="宋体"/>
          <w:b w:val="0"/>
          <w:bCs/>
          <w:color w:val="auto"/>
          <w:kern w:val="2"/>
          <w:sz w:val="24"/>
          <w:szCs w:val="24"/>
          <w:highlight w:val="none"/>
          <w:lang w:val="en-US" w:eastAsia="zh-CN" w:bidi="ar-SA"/>
        </w:rPr>
      </w:pPr>
    </w:p>
    <w:p w14:paraId="6EF2A85F">
      <w:pPr>
        <w:pStyle w:val="9"/>
        <w:spacing w:after="0"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（二）商务条件</w:t>
      </w:r>
    </w:p>
    <w:p w14:paraId="1CCFD674">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sz w:val="24"/>
          <w:szCs w:val="24"/>
        </w:rPr>
      </w:pPr>
      <w:r>
        <w:rPr>
          <w:rFonts w:hint="eastAsia" w:ascii="宋体" w:hAnsi="宋体" w:eastAsia="宋体" w:cs="宋体"/>
          <w:b/>
          <w:bCs/>
          <w:color w:val="000000"/>
          <w:kern w:val="0"/>
          <w:sz w:val="24"/>
          <w:szCs w:val="24"/>
          <w:lang w:val="en-US" w:eastAsia="zh-CN" w:bidi="ar"/>
        </w:rPr>
        <w:t>1、服务地点：</w:t>
      </w:r>
      <w:r>
        <w:rPr>
          <w:rFonts w:hint="eastAsia" w:ascii="宋体" w:hAnsi="宋体" w:eastAsia="宋体" w:cs="宋体"/>
          <w:color w:val="000000"/>
          <w:kern w:val="0"/>
          <w:sz w:val="24"/>
          <w:szCs w:val="24"/>
          <w:lang w:val="en-US" w:eastAsia="zh-CN" w:bidi="ar"/>
        </w:rPr>
        <w:t>采购人指定地点。</w:t>
      </w:r>
      <w:r>
        <w:rPr>
          <w:rFonts w:hint="eastAsia" w:ascii="宋体" w:hAnsi="宋体" w:eastAsia="宋体" w:cs="宋体"/>
          <w:b/>
          <w:bCs/>
          <w:color w:val="000000"/>
          <w:kern w:val="0"/>
          <w:sz w:val="24"/>
          <w:szCs w:val="24"/>
          <w:lang w:val="en-US" w:eastAsia="zh-CN" w:bidi="ar"/>
        </w:rPr>
        <w:t xml:space="preserve"> </w:t>
      </w:r>
    </w:p>
    <w:p w14:paraId="21A40801">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b w:val="0"/>
          <w:bCs w:val="0"/>
          <w:sz w:val="24"/>
          <w:szCs w:val="24"/>
          <w:highlight w:val="yellow"/>
        </w:rPr>
      </w:pPr>
      <w:r>
        <w:rPr>
          <w:rFonts w:hint="eastAsia" w:ascii="宋体" w:hAnsi="宋体" w:eastAsia="宋体" w:cs="宋体"/>
          <w:b/>
          <w:bCs/>
          <w:color w:val="000000"/>
          <w:kern w:val="0"/>
          <w:sz w:val="24"/>
          <w:szCs w:val="24"/>
          <w:lang w:val="en-US" w:eastAsia="zh-CN" w:bidi="ar"/>
        </w:rPr>
        <w:t>2、服务期限：一</w:t>
      </w:r>
      <w:r>
        <w:rPr>
          <w:rFonts w:hint="eastAsia" w:ascii="宋体" w:hAnsi="宋体" w:eastAsia="宋体" w:cs="宋体"/>
          <w:b w:val="0"/>
          <w:bCs w:val="0"/>
          <w:color w:val="000000"/>
          <w:kern w:val="0"/>
          <w:sz w:val="24"/>
          <w:szCs w:val="24"/>
          <w:lang w:val="en-US" w:eastAsia="zh-CN" w:bidi="ar"/>
        </w:rPr>
        <w:t>年。</w:t>
      </w:r>
    </w:p>
    <w:p w14:paraId="61B128BA">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3、报价方式：</w:t>
      </w:r>
    </w:p>
    <w:p w14:paraId="05486B65">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rPr>
        <w:t>所有投标均以人民币报价，报价内容包含招标文件规定的完成相关服务所需的设备、人员、培训、技术支持、税费等一切相关费用</w:t>
      </w:r>
      <w:r>
        <w:rPr>
          <w:rFonts w:hint="eastAsia" w:ascii="宋体" w:hAnsi="宋体" w:eastAsia="宋体" w:cs="宋体"/>
          <w:b w:val="0"/>
          <w:bCs w:val="0"/>
          <w:color w:val="000000"/>
          <w:kern w:val="0"/>
          <w:sz w:val="24"/>
          <w:szCs w:val="24"/>
          <w:lang w:val="en-US" w:eastAsia="zh-CN" w:bidi="ar"/>
        </w:rPr>
        <w:t>。</w:t>
      </w:r>
    </w:p>
    <w:p w14:paraId="3EAD071E">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4、付款方式：</w:t>
      </w:r>
    </w:p>
    <w:p w14:paraId="6449A389">
      <w:pPr>
        <w:pStyle w:val="43"/>
        <w:spacing w:line="360" w:lineRule="exact"/>
        <w:ind w:firstLine="480"/>
        <w:rPr>
          <w:rFonts w:hint="eastAsia"/>
          <w:lang w:val="en-US" w:eastAsia="zh-Hans"/>
        </w:rPr>
      </w:pPr>
      <w:r>
        <w:rPr>
          <w:rFonts w:hint="eastAsia"/>
          <w:b/>
          <w:bCs/>
          <w:lang w:val="en-US" w:eastAsia="zh-CN"/>
        </w:rPr>
        <w:t>造价咨询费用根据考核情况，每季度支付一次；年累计出现两次月度考核不合格，委托人有权终止合同。</w:t>
      </w:r>
      <w:r>
        <w:rPr>
          <w:rFonts w:hint="eastAsia"/>
          <w:lang w:val="en-US" w:eastAsia="zh-Hans"/>
        </w:rPr>
        <w:t xml:space="preserve">  </w:t>
      </w:r>
    </w:p>
    <w:p w14:paraId="743CCAFF">
      <w:r>
        <w:br w:type="page"/>
      </w:r>
    </w:p>
    <w:p w14:paraId="33D5489F">
      <w:pPr>
        <w:pStyle w:val="51"/>
        <w:spacing w:before="320"/>
      </w:pPr>
      <w:bookmarkStart w:id="38" w:name="_Toc15729"/>
      <w:r>
        <w:t>第</w:t>
      </w:r>
      <w:r>
        <w:rPr>
          <w:rFonts w:hint="eastAsia"/>
          <w:lang w:val="en-US" w:eastAsia="zh-CN"/>
        </w:rPr>
        <w:t>六</w:t>
      </w:r>
      <w:r>
        <w:t>章</w:t>
      </w:r>
      <w:r>
        <w:rPr>
          <w:rFonts w:hint="eastAsia"/>
        </w:rPr>
        <w:t xml:space="preserve"> 评标方法与评标标准</w:t>
      </w:r>
      <w:bookmarkEnd w:id="38"/>
    </w:p>
    <w:p w14:paraId="0FEEFCD7">
      <w:pPr>
        <w:pStyle w:val="49"/>
      </w:pPr>
      <w:bookmarkStart w:id="39" w:name="_Toc486337762"/>
      <w:bookmarkStart w:id="40" w:name="_Toc474489585"/>
      <w:bookmarkStart w:id="41" w:name="_Toc21139"/>
      <w:r>
        <w:rPr>
          <w:rFonts w:hint="eastAsia"/>
        </w:rPr>
        <w:t>一、</w:t>
      </w:r>
      <w:bookmarkEnd w:id="39"/>
      <w:bookmarkEnd w:id="40"/>
      <w:r>
        <w:rPr>
          <w:rFonts w:hint="eastAsia"/>
        </w:rPr>
        <w:t>评标方法</w:t>
      </w:r>
      <w:bookmarkEnd w:id="41"/>
    </w:p>
    <w:p w14:paraId="46EA58BC">
      <w:pPr>
        <w:pStyle w:val="43"/>
        <w:ind w:firstLine="480"/>
        <w:rPr>
          <w:color w:val="000000" w:themeColor="text1"/>
          <w14:textFill>
            <w14:solidFill>
              <w14:schemeClr w14:val="tx1"/>
            </w14:solidFill>
          </w14:textFill>
        </w:rPr>
      </w:pPr>
      <w:r>
        <w:rPr>
          <w:rFonts w:hint="eastAsia"/>
        </w:rPr>
        <w:t>本次</w:t>
      </w:r>
      <w:r>
        <w:t>招标采用</w:t>
      </w:r>
      <w:r>
        <w:rPr>
          <w:rFonts w:hint="eastAsia"/>
        </w:rPr>
        <w:t>：</w:t>
      </w:r>
      <w:r>
        <w:rPr>
          <w:rFonts w:hint="eastAsia"/>
          <w:b/>
          <w:u w:val="single"/>
        </w:rPr>
        <w:t xml:space="preserve">  最低价中标</w:t>
      </w:r>
      <w:r>
        <w:rPr>
          <w:b/>
          <w:u w:val="single"/>
        </w:rPr>
        <w:t>法</w:t>
      </w:r>
      <w:r>
        <w:rPr>
          <w:rFonts w:hint="eastAsia"/>
          <w:b/>
          <w:u w:val="single"/>
        </w:rPr>
        <w:t xml:space="preserve"> </w:t>
      </w:r>
      <w:r>
        <w:rPr>
          <w:b/>
          <w:u w:val="single"/>
        </w:rPr>
        <w:t xml:space="preserve"> </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满足采购要求且报价最低为中标人。</w:t>
      </w:r>
    </w:p>
    <w:p w14:paraId="1842C2CD">
      <w:pPr>
        <w:pStyle w:val="43"/>
        <w:ind w:firstLine="0" w:firstLineChars="0"/>
      </w:pPr>
    </w:p>
    <w:sectPr>
      <w:pgSz w:w="11907" w:h="16840"/>
      <w:pgMar w:top="1418" w:right="1418" w:bottom="1418" w:left="1814" w:header="1134" w:footer="851" w:gutter="0"/>
      <w:pgNumType w:fmt="numberInDash"/>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721693"/>
      <w:docPartObj>
        <w:docPartGallery w:val="autotext"/>
      </w:docPartObj>
    </w:sdtPr>
    <w:sdtContent>
      <w:p w14:paraId="1852C52E">
        <w:pPr>
          <w:pStyle w:val="18"/>
          <w:ind w:firstLine="480"/>
          <w:jc w:val="right"/>
        </w:pPr>
        <w:r>
          <w:fldChar w:fldCharType="begin"/>
        </w:r>
        <w:r>
          <w:instrText xml:space="preserve">PAGE   \* MERGEFORMAT</w:instrText>
        </w:r>
        <w:r>
          <w:fldChar w:fldCharType="separate"/>
        </w:r>
        <w:r>
          <w:rPr>
            <w:lang w:val="zh-CN"/>
          </w:rPr>
          <w:t>-</w:t>
        </w:r>
        <w:r>
          <w:t xml:space="preserve"> 15 -</w:t>
        </w:r>
        <w:r>
          <w:fldChar w:fldCharType="end"/>
        </w:r>
      </w:p>
    </w:sdtContent>
  </w:sdt>
  <w:p w14:paraId="40AC0B2E">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5699960"/>
      <w:docPartObj>
        <w:docPartGallery w:val="autotext"/>
      </w:docPartObj>
    </w:sdtPr>
    <w:sdtContent>
      <w:p w14:paraId="25E468DC">
        <w:pPr>
          <w:pStyle w:val="18"/>
          <w:ind w:firstLine="480"/>
          <w:jc w:val="right"/>
        </w:pPr>
        <w:r>
          <w:fldChar w:fldCharType="begin"/>
        </w:r>
        <w:r>
          <w:instrText xml:space="preserve">PAGE   \* MERGEFORMAT</w:instrText>
        </w:r>
        <w:r>
          <w:fldChar w:fldCharType="separate"/>
        </w:r>
        <w:r>
          <w:rPr>
            <w:lang w:val="zh-CN"/>
          </w:rPr>
          <w:t>-</w:t>
        </w:r>
        <w:r>
          <w:t xml:space="preserve"> 16 -</w:t>
        </w:r>
        <w:r>
          <w:fldChar w:fldCharType="end"/>
        </w:r>
      </w:p>
    </w:sdtContent>
  </w:sdt>
  <w:p w14:paraId="5B2F6F44">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4EAF3">
    <w:pPr>
      <w:pStyle w:val="18"/>
      <w:jc w:val="center"/>
    </w:pPr>
  </w:p>
  <w:p w14:paraId="7D16B836">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7875403"/>
      <w:docPartObj>
        <w:docPartGallery w:val="autotext"/>
      </w:docPartObj>
    </w:sdtPr>
    <w:sdtContent>
      <w:p w14:paraId="2DC6137E">
        <w:pPr>
          <w:pStyle w:val="18"/>
          <w:ind w:firstLine="480"/>
          <w:jc w:val="right"/>
        </w:pPr>
        <w:r>
          <w:fldChar w:fldCharType="begin"/>
        </w:r>
        <w:r>
          <w:instrText xml:space="preserve">PAGE   \* MERGEFORMAT</w:instrText>
        </w:r>
        <w:r>
          <w:fldChar w:fldCharType="separate"/>
        </w:r>
        <w:r>
          <w:rPr>
            <w:lang w:val="zh-CN"/>
          </w:rPr>
          <w:t>-</w:t>
        </w:r>
        <w:r>
          <w:t xml:space="preserve"> 8 -</w:t>
        </w:r>
        <w:r>
          <w:fldChar w:fldCharType="end"/>
        </w:r>
      </w:p>
    </w:sdtContent>
  </w:sdt>
  <w:p w14:paraId="63F8CB4F">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82957"/>
      <w:docPartObj>
        <w:docPartGallery w:val="autotext"/>
      </w:docPartObj>
    </w:sdtPr>
    <w:sdtContent>
      <w:p w14:paraId="7E885FBC">
        <w:pPr>
          <w:pStyle w:val="18"/>
          <w:ind w:firstLine="480"/>
          <w:jc w:val="right"/>
        </w:pPr>
        <w:r>
          <w:fldChar w:fldCharType="begin"/>
        </w:r>
        <w:r>
          <w:instrText xml:space="preserve">PAGE   \* MERGEFORMAT</w:instrText>
        </w:r>
        <w:r>
          <w:fldChar w:fldCharType="separate"/>
        </w:r>
        <w:r>
          <w:rPr>
            <w:lang w:val="zh-CN"/>
          </w:rPr>
          <w:t>-</w:t>
        </w:r>
        <w:r>
          <w:t xml:space="preserve"> 8 -</w:t>
        </w:r>
        <w:r>
          <w:fldChar w:fldCharType="end"/>
        </w:r>
      </w:p>
    </w:sdtContent>
  </w:sdt>
  <w:p w14:paraId="2ED3A595">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77B5A"/>
    <w:multiLevelType w:val="singleLevel"/>
    <w:tmpl w:val="80677B5A"/>
    <w:lvl w:ilvl="0" w:tentative="0">
      <w:start w:val="1"/>
      <w:numFmt w:val="decimal"/>
      <w:suff w:val="space"/>
      <w:lvlText w:val="%1."/>
      <w:lvlJc w:val="left"/>
    </w:lvl>
  </w:abstractNum>
  <w:abstractNum w:abstractNumId="1">
    <w:nsid w:val="006E1865"/>
    <w:multiLevelType w:val="singleLevel"/>
    <w:tmpl w:val="006E1865"/>
    <w:lvl w:ilvl="0" w:tentative="0">
      <w:start w:val="1"/>
      <w:numFmt w:val="decimal"/>
      <w:lvlText w:val="%1．"/>
      <w:lvlJc w:val="left"/>
      <w:pPr>
        <w:tabs>
          <w:tab w:val="left" w:pos="840"/>
        </w:tabs>
        <w:ind w:left="840" w:hanging="360"/>
      </w:pPr>
      <w:rPr>
        <w:rFonts w:hint="eastAsia"/>
      </w:rPr>
    </w:lvl>
  </w:abstractNum>
  <w:abstractNum w:abstractNumId="2">
    <w:nsid w:val="1D283A2D"/>
    <w:multiLevelType w:val="singleLevel"/>
    <w:tmpl w:val="1D283A2D"/>
    <w:lvl w:ilvl="0" w:tentative="0">
      <w:start w:val="1"/>
      <w:numFmt w:val="japaneseCounting"/>
      <w:lvlText w:val="%1、"/>
      <w:lvlJc w:val="left"/>
      <w:pPr>
        <w:tabs>
          <w:tab w:val="left" w:pos="960"/>
        </w:tabs>
        <w:ind w:left="960" w:hanging="480"/>
      </w:pPr>
      <w:rPr>
        <w:rFonts w:hint="eastAsia"/>
      </w:rPr>
    </w:lvl>
  </w:abstractNum>
  <w:abstractNum w:abstractNumId="3">
    <w:nsid w:val="1E83882A"/>
    <w:multiLevelType w:val="singleLevel"/>
    <w:tmpl w:val="1E83882A"/>
    <w:lvl w:ilvl="0" w:tentative="0">
      <w:start w:val="1"/>
      <w:numFmt w:val="decimal"/>
      <w:lvlText w:val="%1."/>
      <w:lvlJc w:val="left"/>
      <w:pPr>
        <w:tabs>
          <w:tab w:val="left" w:pos="312"/>
        </w:tabs>
      </w:pPr>
    </w:lvl>
  </w:abstractNum>
  <w:abstractNum w:abstractNumId="4">
    <w:nsid w:val="30C5F06B"/>
    <w:multiLevelType w:val="singleLevel"/>
    <w:tmpl w:val="30C5F06B"/>
    <w:lvl w:ilvl="0" w:tentative="0">
      <w:start w:val="1"/>
      <w:numFmt w:val="decimal"/>
      <w:lvlText w:val="%1."/>
      <w:lvlJc w:val="left"/>
      <w:pPr>
        <w:tabs>
          <w:tab w:val="left" w:pos="312"/>
        </w:tabs>
      </w:pPr>
    </w:lvl>
  </w:abstractNum>
  <w:abstractNum w:abstractNumId="5">
    <w:nsid w:val="42C53715"/>
    <w:multiLevelType w:val="multilevel"/>
    <w:tmpl w:val="42C53715"/>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hideSpellingErrors/>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4NjJmOWM4MzFlNzNkMDJkNGQ2NTc2ZTExM2E4OTIifQ=="/>
    <w:docVar w:name="NE.Ref{071D8A60-E03B-499F-8E52-F2F046DB8DBC}" w:val=" ADDIN NE.Ref.{071D8A60-E03B-499F-8E52-F2F046DB8DBC} ADDIN NE.Ref.{071D8A60-E03B-499F-8E52-F2F046DB8DBC}&lt;Citation&gt;&lt;Group&gt;&lt;References&gt;&lt;Item&gt;&lt;ID&gt;130&lt;/ID&gt;&lt;UID&gt;{EE8C1F4C-F715-42E1-9D82-2F350AABA250}&lt;/UID&gt;&lt;Title&gt;AtMYB14 Regulates Cold Tolerance in Arabidopsis&lt;/Title&gt;&lt;Template&gt;Journal Article&lt;/Template&gt;&lt;Star&gt;0&lt;/Star&gt;&lt;Tag&gt;0&lt;/Tag&gt;&lt;Author&gt;Chen, Y; Chen, Z L; Kang, J Q; Kang, D M; Gu, H Y; Qin, G J&lt;/Author&gt;&lt;Year&gt;2013&lt;/Year&gt;&lt;Details&gt;&lt;_accessed&gt;60027376&lt;/_accessed&gt;&lt;_author_adr&gt;[Chen, Yan; Chen, Zhangliang; Kang, Dingming] China Agr Univ, Coll Agron &amp;amp; Biotechnol, Beijing 100094, Peoples R China. [Gu, Hongya] Natl Plant Gene Res Ctr Beijing, Beijing 100101, Peoples R China. [Chen, Zhangliang; Kang, Juqing; Gu, Hongya; Qin, Genji] Peking Univ, State Key Lab Prot &amp;amp; Plant Gene Res, Beijing 100871, Peoples R China._x000d__x000a_Qin, GJ (reprint author), Peking Univ, State Key Lab Prot &amp;amp; Plant Gene Res, Beijing 100871, Peoples R China._x000d__x000a_E-Mail: qingenji@pku.edu.cn&lt;/_author_adr&gt;&lt;_created&gt;60027368&lt;/_created&gt;&lt;_custom1&gt;PLANT MOL BIOL REP_x000d__x000a_Plant Mol. Biol. Rep.&lt;/_custom1&gt;&lt;_date_display&gt;2013_x000d__x000a_FEB&lt;/_date_display&gt;&lt;_db_updated&gt;web_of_knowledge_511&lt;/_db_updated&gt;&lt;_isbn&gt;0735-9640&lt;/_isbn&gt;&lt;_issue&gt;1&lt;/_issue&gt;&lt;_journal&gt;PLANT MOLECULAR BIOLOGY REPORTER&lt;/_journal&gt;&lt;_keywords&gt;AtMYB14; R2R3-type MYB transcription factor; Cold tolerance; CBF genes; Arabidopsis; MYB TRANSCRIPTION FACTOR; R2R3-MYB GENE FAMILY; LOW-TEMPERATURE; FREEZING TOLERANCE; SIGNAL-TRANSDUCTION; NEGATIVE REGULATOR; SALT STRESS; EXPRESSION; THALIANA; DROUGHT&lt;/_keywords&gt;&lt;_language&gt;English&lt;/_language&gt;&lt;_modified&gt;60027376&lt;/_modified&gt;&lt;_number&gt;WOS:000313412900010&lt;/_number&gt;&lt;_ori_publication&gt;SPRINGER&lt;/_ori_publication&gt;&lt;_pages&gt;87-97&lt;/_pages&gt;&lt;_place_published&gt;NEW YORK&lt;/_place_published&gt;&lt;_type_work&gt;Article&lt;/_type_work&gt;&lt;_volume&gt;31&lt;/_volume&gt;&lt;/Details&gt;&lt;Extra&gt;&lt;DBUID&gt;{EDEA4BC4-0457-43F1-8F42-A2410C0142AC}&lt;/DBUID&gt;&lt;/Extra&gt;&lt;/Item&gt;&lt;/References&gt;&lt;/Group&gt;&lt;/Citation&gt;_x000a_"/>
    <w:docVar w:name="NE.Ref{098DFF1E-B681-40DE-BFAA-0CC4C0F596CE}" w:val=" ADDIN NE.Ref.{098DFF1E-B681-40DE-BFAA-0CC4C0F596CE} ADDIN NE.Ref.{098DFF1E-B681-40DE-BFAA-0CC4C0F596CE}&lt;Citation&gt;&lt;Group&gt;&lt;References&gt;&lt;Item&gt;&lt;ID&gt;164&lt;/ID&gt;&lt;UID&gt;{335DD87B-438E-4738-AE2E-EADE6D6B583A}&lt;/UID&gt;&lt;Title&gt;Nitrogen deficiency enhances expression of specific MYB and bHLH transcription factors and accumulation of end products in the flavonoid pathway&lt;/Title&gt;&lt;Template&gt;Journal Article&lt;/Template&gt;&lt;Star&gt;0&lt;/Star&gt;&lt;Tag&gt;0&lt;/Tag&gt;&lt;Author&gt;Lea, U S; Slimestad, R; Smedvig, P; Lillo, C&lt;/Author&gt;&lt;Year&gt;2007&lt;/Year&gt;&lt;Details&gt;&lt;_accessed&gt;60041412&lt;/_accessed&gt;&lt;_accession_num&gt;17053893&lt;/_accession_num&gt;&lt;_author_adr&gt;Faculty of Science and Technology, University of Stavanger, 4036 Stavanger, Norway.&lt;/_author_adr&gt;&lt;_created&gt;60041407&lt;/_created&gt;&lt;_date&gt;56406240&lt;/_date&gt;&lt;_date_display&gt;2007 Apr&lt;/_date_display&gt;&lt;_db_updated&gt;PubMed&lt;/_db_updated&gt;&lt;_doi&gt;10.1007/s00425-006-0414-x&lt;/_doi&gt;&lt;_issue&gt;5&lt;/_issue&gt;&lt;_journal&gt;Planta&lt;/_journal&gt;&lt;_keywords&gt;Agar; Anthocyanins/metabolism; Arabidopsis; Arabidopsis Proteins/*genetics; Basic Helix-Loop-Helix Transcription Factors/*genetics; Cell Culture Techniques; Flavonoids/*metabolism; *Gene Expression Regulation, Plant; Nitrogen/*deficiency; Seedling/genetics/metabolism; Soil; Transcription Factors/*genetics&lt;/_keywords&gt;&lt;_language&gt;eng&lt;/_language&gt;&lt;_modified&gt;60041412&lt;/_modified&gt;&lt;_pages&gt;1245-53&lt;/_pages&gt;&lt;_type_work&gt;Journal Article&lt;/_type_work&gt;&lt;_url&gt;http://www.ncbi.nlm.nih.gov/entrez/query.fcgi?cmd=Retrieve&amp;amp;db=pubmed&amp;amp;dopt=Abstract&amp;amp;list_uids=17053893&amp;amp;query_hl=1&lt;/_url&gt;&lt;_volume&gt;225&lt;/_volume&gt;&lt;/Details&gt;&lt;Extra&gt;&lt;DBUID&gt;{EDEA4BC4-0457-43F1-8F42-A2410C0142AC}&lt;/DBUID&gt;&lt;/Extra&gt;&lt;/Item&gt;&lt;/References&gt;&lt;/Group&gt;&lt;/Citation&gt;_x000a_"/>
    <w:docVar w:name="NE.Ref{0A24DF19-DBF9-4009-9D26-3D3A43C1A10A}" w:val=" ADDIN NE.Ref.{0A24DF19-DBF9-4009-9D26-3D3A43C1A10A} ADDIN NE.Ref.{0A24DF19-DBF9-4009-9D26-3D3A43C1A10A}&lt;Citation&gt;&lt;Group&gt;&lt;References&gt;&lt;Item&gt;&lt;ID&gt;136&lt;/ID&gt;&lt;UID&gt;{41E6E47C-1853-466D-A648-4F7B47E6D4EC}&lt;/UID&gt;&lt;Title&gt;The regulatory c1 locus of Zea mays encodes a protein with homology to myb proto-oncogene products and with structural similarities to transcriptional activators&lt;/Title&gt;&lt;Template&gt;Journal Article&lt;/Template&gt;&lt;Star&gt;0&lt;/Star&gt;&lt;Tag&gt;0&lt;/Tag&gt;&lt;Author&gt;Paz-Ares, J; Ghosal, D; Wienand, U; Peterson, P A; Saedler, H&lt;/Author&gt;&lt;Year&gt;1987&lt;/Year&gt;&lt;Details&gt;&lt;_accessed&gt;60027487&lt;/_accessed&gt;&lt;_accession_num&gt;3428265&lt;/_accession_num&gt;&lt;_author_adr&gt;Max-Planck Institut fur Zuchtungsforschung, Koln, FRG.&lt;/_author_adr&gt;&lt;_created&gt;60027483&lt;/_created&gt;&lt;_date&gt;46238400&lt;/_date&gt;&lt;_date_display&gt;1987 Dec 1&lt;/_date_display&gt;&lt;_db_updated&gt;PubMed&lt;/_db_updated&gt;&lt;_issue&gt;12&lt;/_issue&gt;&lt;_journal&gt;EMBO J&lt;/_journal&gt;&lt;_keywords&gt;Amino Acid Sequence; Animals; Anthocyanins/genetics; Cloning, Molecular; DNA/analysis; *Genes; *Genes, Regulator; Molecular Sequence Data; Plant Proteins/*genetics; Plants/*genetics; Promoter Regions, Genetic; *Proto-Oncogenes; Sequence Homology, Nucleic Acid; *Transcription, Genetic; Zea mays/genetics&lt;/_keywords&gt;&lt;_language&gt;eng&lt;/_language&gt;&lt;_modified&gt;60027487&lt;/_modified&gt;&lt;_pages&gt;3553-8&lt;/_pages&gt;&lt;_type_work&gt;Comparative Study; Journal Article; Research Support, Non-U.S. Gov&amp;apos;t&lt;/_type_work&gt;&lt;_url&gt;http://www.ncbi.nlm.nih.gov/entrez/query.fcgi?cmd=Retrieve&amp;amp;db=pubmed&amp;amp;dopt=Abstract&amp;amp;list_uids=3428265&amp;amp;query_hl=1&lt;/_url&gt;&lt;_volume&gt;6&lt;/_volume&gt;&lt;/Details&gt;&lt;Extra&gt;&lt;DBUID&gt;{EDEA4BC4-0457-43F1-8F42-A2410C0142AC}&lt;/DBUID&gt;&lt;/Extra&gt;&lt;/Item&gt;&lt;/References&gt;&lt;/Group&gt;&lt;/Citation&gt;_x000a_"/>
    <w:docVar w:name="NE.Ref{0BA8C9E7-B3BA-43C9-BFD7-84E4D7FC51FD}" w:val=" ADDIN NE.Ref.{0BA8C9E7-B3BA-43C9-BFD7-84E4D7FC51FD} ADDIN NE.Ref.{0BA8C9E7-B3BA-43C9-BFD7-84E4D7FC51FD}&lt;Citation&gt;&lt;Group&gt;&lt;References&gt;&lt;Item&gt;&lt;ID&gt;134&lt;/ID&gt;&lt;UID&gt;{DA77FB04-FCDF-4C03-99A7-0FAD7976D6DD}&lt;/UID&gt;&lt;Title&gt;Overexpression of the Wounding-Responsive Gene AtMYB15 Activates the Shikimate Pathway in Arabidopsis&lt;/Title&gt;&lt;Template&gt;Journal Article&lt;/Template&gt;&lt;Star&gt;0&lt;/Star&gt;&lt;Tag&gt;0&lt;/Tag&gt;&lt;Author&gt;Chen, Yanhui; Zhang, Xiangbo; Wu, Wei; Chen, Zhangliang; Gu, Hongya; Qu, Li-Jia&lt;/Author&gt;&lt;Year&gt;2006&lt;/Year&gt;&lt;Details&gt;&lt;_accessed&gt;60027410&lt;/_accessed&gt;&lt;_created&gt;60027385&lt;/_created&gt;&lt;_db_updated&gt;GoogleScholar&lt;/_db_updated&gt;&lt;_issue&gt;9&lt;/_issue&gt;&lt;_journal&gt;Journal of Integrative Plant Biology&lt;/_journal&gt;&lt;_modified&gt;60027385&lt;/_modified&gt;&lt;_pages&gt;1084--1095&lt;/_pages&gt;&lt;_volume&gt;48&lt;/_volume&gt;&lt;/Details&gt;&lt;Extra&gt;&lt;DBUID&gt;{EDEA4BC4-0457-43F1-8F42-A2410C0142AC}&lt;/DBUID&gt;&lt;/Extra&gt;&lt;/Item&gt;&lt;/References&gt;&lt;/Group&gt;&lt;/Citation&gt;_x000a_"/>
    <w:docVar w:name="NE.Ref{0FDE89D8-336B-4891-96D8-15B580470056}" w:val=" ADDIN NE.Ref.{0FDE89D8-336B-4891-96D8-15B580470056} ADDIN NE.Ref.{0FDE89D8-336B-4891-96D8-15B580470056}&lt;Citation&gt;&lt;Group&gt;&lt;References&gt;&lt;Item&gt;&lt;ID&gt;148&lt;/ID&gt;&lt;UID&gt;{EAD594A3-F901-406D-A2CA-1808CCE67265}&lt;/UID&gt;&lt;Title&gt;A dual role for MYB60 in stomatal regulation and root growth of Arabidopsis thaliana under drought stress&lt;/Title&gt;&lt;Template&gt;Journal Article&lt;/Template&gt;&lt;Star&gt;0&lt;/Star&gt;&lt;Tag&gt;0&lt;/Tag&gt;&lt;Author&gt;Oh, J E; Kwon, Y; Kim, J H; Noh, H; Hong, S W; Lee, H&lt;/Author&gt;&lt;Year&gt;2011&lt;/Year&gt;&lt;Details&gt;&lt;_accessed&gt;60041375&lt;/_accessed&gt;&lt;_accession_num&gt;21637967&lt;/_accession_num&gt;&lt;_author_adr&gt;College of Life Sciences and Biotechnology, Korea University,Seoul 136-713, Republic of Korea.&lt;/_author_adr&gt;&lt;_created&gt;60041371&lt;/_created&gt;&lt;_date&gt;58730400&lt;/_date&gt;&lt;_date_display&gt;2011 Sep&lt;/_date_display&gt;&lt;_db_updated&gt;PubMed&lt;/_db_updated&gt;&lt;_doi&gt;10.1007/s11103-011-9796-7&lt;/_doi&gt;&lt;_issue&gt;1-2&lt;/_issue&gt;&lt;_journal&gt;Plant Mol Biol&lt;/_journal&gt;&lt;_keywords&gt;Abscisic Acid/pharmacology; Alternative Splicing; Amino Acid Sequence; Arabidopsis/drug effects/growth &amp;amp; development/*physiology; Arabidopsis Proteins/chemistry/genetics/*physiology; Droughts; Gene Expression Regulation, Plant; Molecular Sequence Data; Plant Roots/growth &amp;amp; development; Plant Stomata/*physiology; Sequence Alignment; *Stress, Physiological; Transcription Factors/chemistry/genetics/*physiology; Water/*metabolism&lt;/_keywords&gt;&lt;_language&gt;eng&lt;/_language&gt;&lt;_modified&gt;60041375&lt;/_modified&gt;&lt;_pages&gt;91-103&lt;/_pages&gt;&lt;_type_work&gt;Journal Article; Research Support, Non-U.S. Gov&amp;apos;t&lt;/_type_work&gt;&lt;_url&gt;http://www.ncbi.nlm.nih.gov/entrez/query.fcgi?cmd=Retrieve&amp;amp;db=pubmed&amp;amp;dopt=Abstract&amp;amp;list_uids=21637967&amp;amp;query_hl=1&lt;/_url&gt;&lt;_volume&gt;77&lt;/_volume&gt;&lt;/Details&gt;&lt;Extra&gt;&lt;DBUID&gt;{EDEA4BC4-0457-43F1-8F42-A2410C0142AC}&lt;/DBUID&gt;&lt;/Extra&gt;&lt;/Item&gt;&lt;/References&gt;&lt;/Group&gt;&lt;/Citation&gt;_x000a_"/>
    <w:docVar w:name="NE.Ref{13E40ECB-60DD-4650-837C-BA62D0C87127}" w:val=" ADDIN NE.Ref.{13E40ECB-60DD-4650-837C-BA62D0C87127} ADDIN NE.Ref.{13E40ECB-60DD-4650-837C-BA62D0C87127}&lt;Citation&gt;&lt;Group&gt;&lt;References&gt;&lt;Item&gt;&lt;ID&gt;178&lt;/ID&gt;&lt;UID&gt;{FB1490E7-BCAE-4D20-B2DE-8F87420887FF}&lt;/UID&gt;&lt;Title&gt;The Arabidopsis SUMO E3 ligase SIZ1 controls phosphate deficiency responses&lt;/Title&gt;&lt;Template&gt;Journal Article&lt;/Template&gt;&lt;Star&gt;0&lt;/Star&gt;&lt;Tag&gt;0&lt;/Tag&gt;&lt;Author&gt;Miura, K; Rus, A; Sharkhuu, A; Yokoi, S; Karthikeyan, A S; Raghothama, K G; Baek, D; Koo, Y D; Jin, J B; Bressan, R A; Yun, D J; Hasegawa, P M&lt;/Author&gt;&lt;Year&gt;2005&lt;/Year&gt;&lt;Details&gt;&lt;_accessed&gt;60041541&lt;/_accessed&gt;&lt;_accession_num&gt;15894620&lt;/_accession_num&gt;&lt;_author_adr&gt;Center for Plant Environmental Stress Physiology, Purdue University, West Lafayette, IN 47907, USA.&lt;/_author_adr&gt;&lt;_created&gt;60041537&lt;/_created&gt;&lt;_date&gt;55431360&lt;/_date&gt;&lt;_date_display&gt;2005 May 24&lt;/_date_display&gt;&lt;_db_updated&gt;PubMed&lt;/_db_updated&gt;&lt;_doi&gt;10.1073/pnas.0500778102&lt;/_doi&gt;&lt;_issue&gt;21&lt;/_issue&gt;&lt;_journal&gt;Proc Natl Acad Sci U S A&lt;/_journal&gt;&lt;_keywords&gt;Anthocyanins/metabolism; Arabidopsis/*genetics; Arabidopsis Proteins/metabolism; DNA, Bacterial/genetics; Green Fluorescent Proteins; Immunoblotting; Ligases/genetics/*metabolism; Mutation/genetics; Phosphates/deficiency/*metabolism; Plant Roots/genetics/growth &amp;amp; development; Polymerase Chain Reaction; Signal Transduction/*genetics; Ubiquitins/*metabolism&lt;/_keywords&gt;&lt;_language&gt;eng&lt;/_language&gt;&lt;_modified&gt;60041541&lt;/_modified&gt;&lt;_pages&gt;7760-5&lt;/_pages&gt;&lt;_type_work&gt;Comparative Study; Journal Article; Research Support, Non-U.S. Gov&amp;apos;t; Research Support, U.S. Gov&amp;apos;t, Non-P.H.S.&lt;/_type_work&gt;&lt;_url&gt;http://www.ncbi.nlm.nih.gov/entrez/query.fcgi?cmd=Retrieve&amp;amp;db=pubmed&amp;amp;dopt=Abstract&amp;amp;list_uids=15894620&amp;amp;query_hl=1&lt;/_url&gt;&lt;_volume&gt;102&lt;/_volume&gt;&lt;/Details&gt;&lt;Extra&gt;&lt;DBUID&gt;{EDEA4BC4-0457-43F1-8F42-A2410C0142AC}&lt;/DBUID&gt;&lt;/Extra&gt;&lt;/Item&gt;&lt;/References&gt;&lt;/Group&gt;&lt;/Citation&gt;_x000a_"/>
    <w:docVar w:name="NE.Ref{19B3A89E-E580-48DB-8EFC-884DC6FC2EA9}" w:val=" ADDIN NE.Ref.{19B3A89E-E580-48DB-8EFC-884DC6FC2EA9} ADDIN NE.Ref.{19B3A89E-E580-48DB-8EFC-884DC6FC2EA9}&lt;Citation&gt;&lt;Group&gt;&lt;References&gt;&lt;Item&gt;&lt;ID&gt;170&lt;/ID&gt;&lt;UID&gt;{57F311B1-556E-4588-8929-1E040A89FA0E}&lt;/UID&gt;&lt;Title&gt;MYB转录因子在植物抗逆胁迫中的作用及其分子机理&lt;/Title&gt;&lt;Template&gt;Journal Article&lt;/Template&gt;&lt;Star&gt;0&lt;/Star&gt;&lt;Tag&gt;0&lt;/Tag&gt;&lt;Author&gt;刘蕾; 杜海; 唐晓凤; 吴燕民; 黄玉碧; 唐益雄&lt;/Author&gt;&lt;Year&gt;2008&lt;/Year&gt;&lt;Details&gt;&lt;_accessed&gt;60041442&lt;/_accessed&gt;&lt;_author_adr&gt;四川农业大学玉米研究所,雅安625014 中闰农业科学院生物技术研究所,北京100081&lt;/_author_adr&gt;&lt;_created&gt;60041441&lt;/_created&gt;&lt;_db_provider&gt;重庆维普&lt;/_db_provider&gt;&lt;_db_updated&gt;CQ_VIP&lt;/_db_updated&gt;&lt;_isbn&gt;0253-9772&lt;/_isbn&gt;&lt;_issue&gt;10&lt;/_issue&gt;&lt;_journal&gt;遗传&lt;/_journal&gt;&lt;_keywords&gt;MYB; 转录因子; 抗逆胁迫; 转录调控; MYB; transcription factors; plant defense responses; transcriptional regulation&lt;/_keywords&gt;&lt;_language&gt;Chinese&lt;/_language&gt;&lt;_modified&gt;60041442&lt;/_modified&gt;&lt;_pages&gt;1265-1271&lt;/_pages&gt;&lt;_translated_author&gt;LIU, Lei; DU, Hai; TANG, Xiao-Feng; WU, Yan-Min; HUANG, Yu-Bi; TANG, Yi-Xiong Maize Research Institute; Sichuan, Agricultural University; Ya, An; China; Biotechnologe, Research Institute; Chinese, Academy Of Agricultural Sciences; Beijing; China&lt;/_translated_author&gt;&lt;_translated_title&gt;The roles of MYB transcription factors on plant defense responses and its molecular mechanism&lt;/_translated_title&gt;&lt;_url&gt;http://2010.cqvip.com/qk/92614X/200810/28444064.html&lt;/_url&gt;&lt;_volume&gt;30&lt;/_volume&gt;&lt;/Details&gt;&lt;Extra&gt;&lt;DBUID&gt;{EDEA4BC4-0457-43F1-8F42-A2410C0142AC}&lt;/DBUID&gt;&lt;/Extra&gt;&lt;/Item&gt;&lt;/References&gt;&lt;/Group&gt;&lt;/Citation&gt;_x000a_"/>
    <w:docVar w:name="NE.Ref{1C29C416-2221-46B3-9FE5-67E6F49D7788}" w:val=" ADDIN NE.Ref.{1C29C416-2221-46B3-9FE5-67E6F49D7788} ADDIN NE.Ref.{1C29C416-2221-46B3-9FE5-67E6F49D7788}&lt;Citation&gt;&lt;Group&gt;&lt;References&gt;&lt;Item&gt;&lt;ID&gt;156&lt;/ID&gt;&lt;UID&gt;{F38D6AE8-F032-40BF-8AB0-7ADF48F3C978}&lt;/UID&gt;&lt;Title&gt;The OsMyb4 gene family: stress response and transcriptional auto-regulation mechanisms&lt;/Title&gt;&lt;Template&gt;Journal Article&lt;/Template&gt;&lt;Star&gt;0&lt;/Star&gt;&lt;Tag&gt;0&lt;/Tag&gt;&lt;Author&gt;Baldoni, E; Genga, A; Medici, A; Coraggio, I; Locatelli, F&lt;/Author&gt;&lt;Year&gt;2013&lt;/Year&gt;&lt;Details&gt;&lt;_accessed&gt;60041390&lt;/_accessed&gt;&lt;_created&gt;60041390&lt;/_created&gt;&lt;_date_display&gt;12/2013&lt;/_date_display&gt;&lt;_db_updated&gt;PKU Search&lt;/_db_updated&gt;&lt;_doi&gt;10.1007/s10535-013-0331-3&lt;/_doi&gt;&lt;_isbn&gt;1573-8264&lt;/_isbn&gt;&lt;_issue&gt;4&lt;/_issue&gt;&lt;_journal&gt;Biologia Plantarum&lt;/_journal&gt;&lt;_modified&gt;60041390&lt;/_modified&gt;&lt;_pages&gt;691 - 700&lt;/_pages&gt;&lt;_subject_headings&gt;Myb transcription factor&lt;/_subject_headings&gt;&lt;_url&gt;http://pku.summon.serialssolutions.com/2.0.0/link/0/eLvHCXMwTZ1BCgIxDEWLeAJB116g0DbptFnLFBEFF7Nyl3SSuYOnt4gLL_Hff3_znTv3TMFS7hOpAYpE4yBZB0xEcfrOAq9HvT9Tm_PtL83bwe3efHRLm5fL1f_OAPxGmDzBZGXIhwkhKBqnRBGHDWAFyVWYBssZSg9cdYVRk7VT1LiWHlU6xJPbD5_WD1J_Jg4&amp;quot; class=&amp;quot;documentLink; http://dx.doi.org/10.1007/s10535-013-0331-3&lt;/_url&gt;&lt;_volume&gt;57&lt;/_volume&gt;&lt;/Details&gt;&lt;Extra&gt;&lt;DBUID&gt;{EDEA4BC4-0457-43F1-8F42-A2410C0142AC}&lt;/DBUID&gt;&lt;/Extra&gt;&lt;/Item&gt;&lt;/References&gt;&lt;/Group&gt;&lt;/Citation&gt;_x000a_"/>
    <w:docVar w:name="NE.Ref{26CCEE05-81F9-464D-8D2E-5A1305334F66}" w:val=" ADDIN NE.Ref.{26CCEE05-81F9-464D-8D2E-5A1305334F66} ADDIN NE.Ref.{26CCEE05-81F9-464D-8D2E-5A1305334F66}&lt;Citation&gt;&lt;Group&gt;&lt;References&gt;&lt;Item&gt;&lt;ID&gt;151&lt;/ID&gt;&lt;UID&gt;{A17470F5-F0F7-4D1F-ACAB-6D492A5B0E46}&lt;/UID&gt;&lt;Title&gt;A battery of transcription factors involved in the regulation of secondary cell wall biosynthesis in Arabidopsis&lt;/Title&gt;&lt;Template&gt;Journal Article&lt;/Template&gt;&lt;Star&gt;0&lt;/Star&gt;&lt;Tag&gt;0&lt;/Tag&gt;&lt;Author&gt;Zhong, R; Lee, C; Zhou, J; McCarthy, R L; Ye, Z H&lt;/Author&gt;&lt;Year&gt;2008&lt;/Year&gt;&lt;Details&gt;&lt;_accessed&gt;60041381&lt;/_accessed&gt;&lt;_accession_num&gt;18952777&lt;/_accession_num&gt;&lt;_author_adr&gt;Department of Plant Biology, University of Georgia, Athens, Georgia 30602, USA.&lt;/_author_adr&gt;&lt;_created&gt;60041380&lt;/_created&gt;&lt;_date&gt;57196800&lt;/_date&gt;&lt;_date_display&gt;2008 Oct&lt;/_date_display&gt;&lt;_db_updated&gt;PubMed&lt;/_db_updated&gt;&lt;_doi&gt;10.1105/tpc.108.061325&lt;/_doi&gt;&lt;_issue&gt;10&lt;/_issue&gt;&lt;_journal&gt;Plant Cell&lt;/_journal&gt;&lt;_keywords&gt;Arabidopsis/genetics/*metabolism/ultrastructure; Arabidopsis Proteins/genetics/metabolism/*physiology; Cell Wall/*metabolism; Gene Expression; Gene Expression Regulation, Plant; Glucuronidase/analysis; Plant Roots/genetics/metabolism/ultrastructure; Plant Stems/genetics/metabolism/ultrastructure; Plants, Genetically Modified/metabolism; Recombinant Proteins/analysis; Sequence Homology, Amino Acid; Signal Transduction; Transcription Factors/genetics/metabolism/*physiology&lt;/_keywords&gt;&lt;_language&gt;eng&lt;/_language&gt;&lt;_modified&gt;60041381&lt;/_modified&gt;&lt;_pages&gt;2763-82&lt;/_pages&gt;&lt;_type_work&gt;Journal Article; Research Support, U.S. Gov&amp;apos;t, Non-P.H.S.&lt;/_type_work&gt;&lt;_url&gt;http://www.ncbi.nlm.nih.gov/entrez/query.fcgi?cmd=Retrieve&amp;amp;db=pubmed&amp;amp;dopt=Abstract&amp;amp;list_uids=18952777&amp;amp;query_hl=1&lt;/_url&gt;&lt;_volume&gt;20&lt;/_volume&gt;&lt;/Details&gt;&lt;Extra&gt;&lt;DBUID&gt;{EDEA4BC4-0457-43F1-8F42-A2410C0142AC}&lt;/DBUID&gt;&lt;/Extra&gt;&lt;/Item&gt;&lt;/References&gt;&lt;/Group&gt;&lt;Group&gt;&lt;References&gt;&lt;Item&gt;&lt;ID&gt;152&lt;/ID&gt;&lt;UID&gt;{6C41ACC5-96B5-4348-B06F-F96DC6590BB2}&lt;/UID&gt;&lt;Title&gt;Ectopic expression of MYB46 identifies transcriptional regulatory genes involved  in secondary wall biosynthesis in Arabidopsis&lt;/Title&gt;&lt;Template&gt;Journal Article&lt;/Template&gt;&lt;Star&gt;0&lt;/Star&gt;&lt;Tag&gt;0&lt;/Tag&gt;&lt;Author&gt;Ko, J H; Kim, W C; Han, K H&lt;/Author&gt;&lt;Year&gt;2009&lt;/Year&gt;&lt;Details&gt;&lt;_accessed&gt;60041381&lt;/_accessed&gt;&lt;_accession_num&gt;19674407&lt;/_accession_num&gt;&lt;_author_adr&gt;Department of Forestry, Michigan State University, East Lansing, MI 48824-1222, USA.&lt;/_author_adr&gt;&lt;_created&gt;60041380&lt;/_created&gt;&lt;_date&gt;57767040&lt;/_date&gt;&lt;_date_display&gt;2009 Nov&lt;/_date_display&gt;&lt;_db_updated&gt;PubMed&lt;/_db_updated&gt;&lt;_doi&gt;10.1111/j.1365-313X.2009.03989.x&lt;/_doi&gt;&lt;_issue&gt;4&lt;/_issue&gt;&lt;_journal&gt;Plant J&lt;/_journal&gt;&lt;_keywords&gt;Arabidopsis/*genetics/growth &amp;amp; development; Arabidopsis Proteins/genetics/*metabolism; Cell Wall/*metabolism; DNA, Plant/genetics; Gene Expression Profiling; Gene Expression Regulation, Developmental; Gene Expression Regulation, Plant; Oligonucleotide Array Sequence Analysis; Plants, Genetically Modified/genetics/growth &amp;amp; development; Promoter Regions, Genetic; Transcription Factors/genetics/*metabolism; Transcriptional Activation&lt;/_keywords&gt;&lt;_language&gt;eng&lt;/_language&gt;&lt;_modified&gt;60041381&lt;/_modified&gt;&lt;_pages&gt;649-65&lt;/_pages&gt;&lt;_type_work&gt;Journal Article; Research Support, Non-U.S. Gov&amp;apos;t&lt;/_type_work&gt;&lt;_url&gt;http://www.ncbi.nlm.nih.gov/entrez/query.fcgi?cmd=Retrieve&amp;amp;db=pubmed&amp;amp;dopt=Abstract&amp;amp;list_uids=19674407&amp;amp;query_hl=1&lt;/_url&gt;&lt;_volume&gt;60&lt;/_volume&gt;&lt;/Details&gt;&lt;Extra&gt;&lt;DBUID&gt;{EDEA4BC4-0457-43F1-8F42-A2410C0142AC}&lt;/DBUID&gt;&lt;/Extra&gt;&lt;/Item&gt;&lt;/References&gt;&lt;/Group&gt;&lt;/Citation&gt;_x000a_"/>
    <w:docVar w:name="NE.Ref{2F75AAD8-AFA1-4105-B177-021465A7FC61}" w:val=" ADDIN NE.Ref.{2F75AAD8-AFA1-4105-B177-021465A7FC61} ADDIN NE.Ref.{2F75AAD8-AFA1-4105-B177-021465A7FC61}&lt;Citation&gt;&lt;Group&gt;&lt;References&gt;&lt;Item&gt;&lt;ID&gt;166&lt;/ID&gt;&lt;UID&gt;{4B0C93D2-FD60-42DA-9063-7024335C2C78}&lt;/UID&gt;&lt;Title&gt;Phosphate starvation responses and gibberellic acid biosynthesis are regulated by the MYB62 transcription factor in Arabidopsis&lt;/Title&gt;&lt;Template&gt;Journal Article&lt;/Template&gt;&lt;Star&gt;0&lt;/Star&gt;&lt;Tag&gt;0&lt;/Tag&gt;&lt;Author&gt;Devaiah, B N; Madhuvanthi, R; Karthikeyan, A S; Raghothama, K G&lt;/Author&gt;&lt;Year&gt;2009&lt;/Year&gt;&lt;Details&gt;&lt;_accessed&gt;60041409&lt;/_accessed&gt;&lt;_accession_num&gt;19529828&lt;/_accession_num&gt;&lt;_author_adr&gt;Department of Horticulture and Landscape Architecture, Purdue University, West Lafayette, IN 47907-1165, USA.&lt;/_author_adr&gt;&lt;_created&gt;60041409&lt;/_created&gt;&lt;_date&gt;57329280&lt;/_date&gt;&lt;_date_display&gt;2009 Jan&lt;/_date_display&gt;&lt;_db_updated&gt;PubMed&lt;/_db_updated&gt;&lt;_doi&gt;10.1093/mp/ssn081&lt;/_doi&gt;&lt;_issue&gt;1&lt;/_issue&gt;&lt;_journal&gt;Mol Plant&lt;/_journal&gt;&lt;_keywords&gt;Arabidopsis/*metabolism; Base Sequence; DNA Primers; Gibberellins/*biosynthesis; Phosphates/*metabolism; Plant Roots/enzymology; Reverse Transcriptase Polymerase Chain Reaction; Transcription Factors/*physiologyAbiotic/environmental stress; nutrition; signal transduction&lt;/_keywords&gt;&lt;_language&gt;eng&lt;/_language&gt;&lt;_modified&gt;60041409&lt;/_modified&gt;&lt;_pages&gt;43-58&lt;/_pages&gt;&lt;_type_work&gt;Journal Article; Research Support, Non-U.S. Gov&amp;apos;t; Research Support, U.S. Gov&amp;apos;t, Non-P.H.S.&lt;/_type_work&gt;&lt;_url&gt;http://www.ncbi.nlm.nih.gov/entrez/query.fcgi?cmd=Retrieve&amp;amp;db=pubmed&amp;amp;dopt=Abstract&amp;amp;list_uids=19529828&amp;amp;query_hl=1&lt;/_url&gt;&lt;_volume&gt;2&lt;/_volume&gt;&lt;/Details&gt;&lt;Extra&gt;&lt;DBUID&gt;{EDEA4BC4-0457-43F1-8F42-A2410C0142AC}&lt;/DBUID&gt;&lt;/Extra&gt;&lt;/Item&gt;&lt;/References&gt;&lt;/Group&gt;&lt;/Citation&gt;_x000a_"/>
    <w:docVar w:name="NE.Ref{34113CD5-0FEB-473C-9AB1-BD066411B896}" w:val=" ADDIN NE.Ref.{34113CD5-0FEB-473C-9AB1-BD066411B896} ADDIN NE.Ref.{34113CD5-0FEB-473C-9AB1-BD066411B896}&lt;Citation&gt;&lt;Group&gt;&lt;References&gt;&lt;Item&gt;&lt;ID&gt;142&lt;/ID&gt;&lt;UID&gt;{99FFD9CF-DFFF-4FE2-BFF0-15C6A9BB5588}&lt;/UID&gt;&lt;Title&gt;Molecular characterization of 60 isolated wheat MYB genes and analysis of their expression during abiotic stress&lt;/Title&gt;&lt;Template&gt;Journal Article&lt;/Template&gt;&lt;Star&gt;0&lt;/Star&gt;&lt;Tag&gt;0&lt;/Tag&gt;&lt;Author&gt;Zhang, L; Zhao, G; Jia, J; Liu, X; Kong, X&lt;/Author&gt;&lt;Year&gt;2012&lt;/Year&gt;&lt;Details&gt;&lt;_accessed&gt;60041348&lt;/_accessed&gt;&lt;_accession_num&gt;21934119&lt;/_accession_num&gt;&lt;_author_adr&gt;The National Key Facility for Crop Gene Resources and Genetic Improvement, Institute of Crop Sciences, Chinese Academy of Agricultural Sciences, Beijing 100081, China.&lt;/_author_adr&gt;&lt;_created&gt;60041347&lt;/_created&gt;&lt;_date&gt;58906080&lt;/_date&gt;&lt;_date_display&gt;2012 Jan&lt;/_date_display&gt;&lt;_db_updated&gt;PubMed&lt;/_db_updated&gt;&lt;_doi&gt;10.1093/jxb/err264&lt;/_doi&gt;&lt;_issue&gt;1&lt;/_issue&gt;&lt;_journal&gt;J Exp Bot&lt;/_journal&gt;&lt;_keywords&gt;Arabidopsis/classification/genetics/physiology; Base Sequence; DNA Primers; *Gene Expression Profiling; *Genes, Plant; *Genes, myb; Phylogeny; Plants, Genetically Modified; Reverse Transcriptase Polymerase Chain Reaction; *Stress, Physiological; Triticum/*genetics/physiology&lt;/_keywords&gt;&lt;_language&gt;eng&lt;/_language&gt;&lt;_modified&gt;60041348&lt;/_modified&gt;&lt;_pages&gt;203-14&lt;/_pages&gt;&lt;_type_work&gt;Journal Article; Research Support, Non-U.S. Gov&amp;apos;t&lt;/_type_work&gt;&lt;_url&gt;http://www.ncbi.nlm.nih.gov/entrez/query.fcgi?cmd=Retrieve&amp;amp;db=pubmed&amp;amp;dopt=Abstract&amp;amp;list_uids=21934119&amp;amp;query_hl=1&lt;/_url&gt;&lt;_volume&gt;63&lt;/_volume&gt;&lt;/Details&gt;&lt;Extra&gt;&lt;DBUID&gt;{EDEA4BC4-0457-43F1-8F42-A2410C0142AC}&lt;/DBUID&gt;&lt;/Extra&gt;&lt;/Item&gt;&lt;/References&gt;&lt;/Group&gt;&lt;/Citation&gt;_x000a_"/>
    <w:docVar w:name="NE.Ref{3CC18CC3-EE3F-4834-98E9-62F69ACEE45D}" w:val=" ADDIN NE.Ref.{3CC18CC3-EE3F-4834-98E9-62F69ACEE45D} ADDIN NE.Ref.{3CC18CC3-EE3F-4834-98E9-62F69ACEE45D}&lt;Citation&gt;&lt;Group&gt;&lt;References&gt;&lt;Item&gt;&lt;ID&gt;142&lt;/ID&gt;&lt;UID&gt;{99FFD9CF-DFFF-4FE2-BFF0-15C6A9BB5588}&lt;/UID&gt;&lt;Title&gt;Molecular characterization of 60 isolated wheat MYB genes and analysis of their expression during abiotic stress&lt;/Title&gt;&lt;Template&gt;Journal Article&lt;/Template&gt;&lt;Star&gt;0&lt;/Star&gt;&lt;Tag&gt;0&lt;/Tag&gt;&lt;Author&gt;Zhang, L; Zhao, G; Jia, J; Liu, X; Kong, X&lt;/Author&gt;&lt;Year&gt;2012&lt;/Year&gt;&lt;Details&gt;&lt;_accessed&gt;60041348&lt;/_accessed&gt;&lt;_accession_num&gt;21934119&lt;/_accession_num&gt;&lt;_author_adr&gt;The National Key Facility for Crop Gene Resources and Genetic Improvement, Institute of Crop Sciences, Chinese Academy of Agricultural Sciences, Beijing 100081, China.&lt;/_author_adr&gt;&lt;_created&gt;60041347&lt;/_created&gt;&lt;_date&gt;58906080&lt;/_date&gt;&lt;_date_display&gt;2012 Jan&lt;/_date_display&gt;&lt;_db_updated&gt;PubMed&lt;/_db_updated&gt;&lt;_doi&gt;10.1093/jxb/err264&lt;/_doi&gt;&lt;_issue&gt;1&lt;/_issue&gt;&lt;_journal&gt;J Exp Bot&lt;/_journal&gt;&lt;_keywords&gt;Arabidopsis/classification/genetics/physiology; Base Sequence; DNA Primers; *Gene Expression Profiling; *Genes, Plant; *Genes, myb; Phylogeny; Plants, Genetically Modified; Reverse Transcriptase Polymerase Chain Reaction; *Stress, Physiological; Triticum/*genetics/physiology&lt;/_keywords&gt;&lt;_language&gt;eng&lt;/_language&gt;&lt;_modified&gt;60041348&lt;/_modified&gt;&lt;_pages&gt;203-14&lt;/_pages&gt;&lt;_type_work&gt;Journal Article; Research Support, Non-U.S. Gov&amp;apos;t&lt;/_type_work&gt;&lt;_url&gt;http://www.ncbi.nlm.nih.gov/entrez/query.fcgi?cmd=Retrieve&amp;amp;db=pubmed&amp;amp;dopt=Abstract&amp;amp;list_uids=21934119&amp;amp;query_hl=1&lt;/_url&gt;&lt;_volume&gt;63&lt;/_volume&gt;&lt;/Details&gt;&lt;Extra&gt;&lt;DBUID&gt;{EDEA4BC4-0457-43F1-8F42-A2410C0142AC}&lt;/DBUID&gt;&lt;/Extra&gt;&lt;/Item&gt;&lt;/References&gt;&lt;/Group&gt;&lt;/Citation&gt;_x000a_"/>
    <w:docVar w:name="NE.Ref{41AE2C02-6CC7-4D25-B2A4-25F34AF75B38}" w:val=" ADDIN NE.Ref.{41AE2C02-6CC7-4D25-B2A4-25F34AF75B38} ADDIN NE.Ref.{41AE2C02-6CC7-4D25-B2A4-25F34AF75B38}&lt;Citation&gt;&lt;Group&gt;&lt;References&gt;&lt;Item&gt;&lt;ID&gt;133&lt;/ID&gt;&lt;UID&gt;{40D7A1E7-105E-4FB6-91B5-48D6F568DB4B}&lt;/UID&gt;&lt;Title&gt;MYB transcription factors in Arabidopsis&lt;/Title&gt;&lt;Template&gt;Journal Article&lt;/Template&gt;&lt;Star&gt;0&lt;/Star&gt;&lt;Tag&gt;0&lt;/Tag&gt;&lt;Author&gt;Dubos, Christian; Stracke, Ralf; Grotewold, Erich; Weisshaar, Bernd; Martin, Cathie; Lepiniec, Lo I C&lt;/Author&gt;&lt;Year&gt;2010&lt;/Year&gt;&lt;Details&gt;&lt;_accessed&gt;60027405&lt;/_accessed&gt;&lt;_created&gt;60027384&lt;/_created&gt;&lt;_db_updated&gt;GoogleScholar&lt;/_db_updated&gt;&lt;_issue&gt;10&lt;/_issue&gt;&lt;_journal&gt;Trends in plant science&lt;/_journal&gt;&lt;_modified&gt;60027405&lt;/_modified&gt;&lt;_pages&gt;573--581&lt;/_pages&gt;&lt;_volume&gt;15&lt;/_volume&gt;&lt;/Details&gt;&lt;Extra&gt;&lt;DBUID&gt;{EDEA4BC4-0457-43F1-8F42-A2410C0142AC}&lt;/DBUID&gt;&lt;/Extra&gt;&lt;/Item&gt;&lt;/References&gt;&lt;/Group&gt;&lt;/Citation&gt;_x000a_"/>
    <w:docVar w:name="NE.Ref{46113E88-91BC-4BD6-813C-196E75DED6FD}" w:val=" ADDIN NE.Ref.{46113E88-91BC-4BD6-813C-196E75DED6FD} ADDIN NE.Ref.{46113E88-91BC-4BD6-813C-196E75DED6FD}&lt;Citation&gt;&lt;Group&gt;&lt;References&gt;&lt;Item&gt;&lt;ID&gt;150&lt;/ID&gt;&lt;UID&gt;{9E367CBD-6762-4C7D-B4F1-310197BB60BE}&lt;/UID&gt;&lt;Title&gt;Expression of the Arabidopsis AtMYB44 gene confers drought/salt-stress tolerance in transgenic soybean&lt;/Title&gt;&lt;Template&gt;Journal Article&lt;/Template&gt;&lt;Star&gt;0&lt;/Star&gt;&lt;Tag&gt;0&lt;/Tag&gt;&lt;Author&gt;Seo, Jun Sung; Kim, Chang-Gi; Kim, Hwan Mook; Lee, Suk-Ha; Choi, Yang Do; Moon, Tae Wha 更多. Kim; Cheong, Jong-Joo; Sohn, Hwang Bae; Noh, Kaeyoung; Jung, Choonkyun; An, Ju Hee; Donovan, Christopher M; Somers, David A; Kim, Dae In; Jeong, Soon-Chun&lt;/Author&gt;&lt;Year&gt;2012&lt;/Year&gt;&lt;Details&gt;&lt;_accessed&gt;60041378&lt;/_accessed&gt;&lt;_created&gt;60041374&lt;/_created&gt;&lt;_date_display&gt;03/2012&lt;/_date_display&gt;&lt;_db_updated&gt;PKU Search&lt;/_db_updated&gt;&lt;_doi&gt;10.1007/s11032-011-9576-8&lt;/_doi&gt;&lt;_isbn&gt;1572-9788&lt;/_isbn&gt;&lt;_issue&gt;3&lt;/_issue&gt;&lt;_journal&gt;Molecular Breeding&lt;/_journal&gt;&lt;_modified&gt;60041378&lt;/_modified&gt;&lt;_pages&gt;601 - 608&lt;/_pages&gt;&lt;_subject_headings&gt;Agriculture&lt;/_subject_headings&gt;&lt;_url&gt;http://pku.summon.serialssolutions.com/2.0.0/link/0/eLvHCXMwTZ1NCkIxDISDeIIHuvYChf5b149XRBRc6AHaJD2Ep3cKLjxBVplvssgM0Slgi1iKFeCowVGwOA1pOD6rnVkp8zX6Ue5PX7d0-1PzutDu0w70rttrvZpfGYBhB49ussD8Qlh6A7FtkhnD7osOAaEuYKp0r4HTmIlcGsW3nGPGuKbR9uG6O9IeB7V-ASoSJZI&amp;quot; class=&amp;quot;documentLink; http://dx.doi.org/10.1007/s11032-011-9576-8&lt;/_url&gt;&lt;_volume&gt;29&lt;/_volume&gt;&lt;/Details&gt;&lt;Extra&gt;&lt;DBUID&gt;{EDEA4BC4-0457-43F1-8F42-A2410C0142AC}&lt;/DBUID&gt;&lt;/Extra&gt;&lt;/Item&gt;&lt;/References&gt;&lt;/Group&gt;&lt;/Citation&gt;_x000a_"/>
    <w:docVar w:name="NE.Ref{49A5558A-3718-41DB-82F5-5671EDFBC6A9}" w:val=" ADDIN NE.Ref.{49A5558A-3718-41DB-82F5-5671EDFBC6A9} ADDIN NE.Ref.{49A5558A-3718-41DB-82F5-5671EDFBC6A9}&lt;Citation&gt;&lt;Group&gt;&lt;References&gt;&lt;Item&gt;&lt;ID&gt;177&lt;/ID&gt;&lt;UID&gt;{72298BD2-14F7-4FE4-B520-2ED4CCFD38C6}&lt;/UID&gt;&lt;Title&gt;Post-translational modification of an R2R3-MYB transcription factor by a MAP Kinase during xylem development&lt;/Title&gt;&lt;Template&gt;Journal Article&lt;/Template&gt;&lt;Star&gt;0&lt;/Star&gt;&lt;Tag&gt;0&lt;/Tag&gt;&lt;Author&gt;Morse, A M; Whetten, R W; Dubos, C; Campbell, M M&lt;/Author&gt;&lt;Year&gt;2009&lt;/Year&gt;&lt;Details&gt;&lt;_accessed&gt;60041542&lt;/_accessed&gt;&lt;_accession_num&gt;19566814&lt;/_accession_num&gt;&lt;_author_adr&gt;Department of Molecular Genetics and Microbiology, University of Florida, Gainesville, FL 32610, USA.&lt;/_author_adr&gt;&lt;_created&gt;60041536&lt;/_created&gt;&lt;_date&gt;57356640&lt;/_date&gt;&lt;_date_display&gt;2009&lt;/_date_display&gt;&lt;_db_updated&gt;PubMed&lt;/_db_updated&gt;&lt;_doi&gt;10.1111/j.1469-8137.2009.02900.x&lt;/_doi&gt;&lt;_issue&gt;4&lt;/_issue&gt;&lt;_journal&gt;New Phytol&lt;/_journal&gt;&lt;_keywords&gt;*Gene Expression Regulation, Plant; *Genes, Plant; Mitogen-Activated Protein Kinases/*genetics; Phosphorylation; Pinus taeda/genetics; Protein Processing, Post-Translational/*genetics; Serine; Transcription Factors/*genetics; Xylem/*genetics/growth &amp;amp; development&lt;/_keywords&gt;&lt;_language&gt;eng&lt;/_language&gt;&lt;_modified&gt;60041542&lt;/_modified&gt;&lt;_pages&gt;1001-13&lt;/_pages&gt;&lt;_type_work&gt;Journal Article; Research Support, Non-U.S. Gov&amp;apos;t; Research Support, U.S. Gov&amp;apos;t, Non-P.H.S.&lt;/_type_work&gt;&lt;_url&gt;http://www.ncbi.nlm.nih.gov/entrez/query.fcgi?cmd=Retrieve&amp;amp;db=pubmed&amp;amp;dopt=Abstract&amp;amp;list_uids=19566814&amp;amp;query_hl=1&lt;/_url&gt;&lt;_volume&gt;183&lt;/_volume&gt;&lt;/Details&gt;&lt;Extra&gt;&lt;DBUID&gt;{EDEA4BC4-0457-43F1-8F42-A2410C0142AC}&lt;/DBUID&gt;&lt;/Extra&gt;&lt;/Item&gt;&lt;/References&gt;&lt;/Group&gt;&lt;/Citation&gt;_x000a_"/>
    <w:docVar w:name="NE.Ref{57BBFD6F-1B4E-431D-8A0C-CDA2B42D4E9A}" w:val=" ADDIN NE.Ref.{57BBFD6F-1B4E-431D-8A0C-CDA2B42D4E9A} ADDIN NE.Ref.{57BBFD6F-1B4E-431D-8A0C-CDA2B42D4E9A}&lt;Citation&gt;&lt;Group&gt;&lt;References&gt;&lt;Item&gt;&lt;ID&gt;138&lt;/ID&gt;&lt;UID&gt;{DED0D29B-3CDA-4879-9FE5-51511AD4BBB1}&lt;/UID&gt;&lt;Title&gt;A single-repeat R3-MYB transcription factor MYBC1 negatively regulates freezing tolerance in Arabidopsis&lt;/Title&gt;&lt;Template&gt;Journal Article&lt;/Template&gt;&lt;Star&gt;0&lt;/Star&gt;&lt;Tag&gt;0&lt;/Tag&gt;&lt;Author&gt;Zhai, H; Bai, X; Zhu, Y; Li, Y; Cai, H; Ji, W; Ji, Z; Liu, X; Liu, X; Li, J&lt;/Author&gt;&lt;Year&gt;2010&lt;/Year&gt;&lt;Details&gt;&lt;_accessed&gt;60028681&lt;/_accessed&gt;&lt;_accession_num&gt;20331973&lt;/_accession_num&gt;&lt;_author_adr&gt;Plant Bioengineering Laboratory, Northeast Agricultural University, Harbin 150030, PR China. Zhai.h@hotmail.com&lt;/_author_adr&gt;&lt;_created&gt;60028681&lt;/_created&gt;&lt;_date&gt;58006080&lt;/_date&gt;&lt;_date_display&gt;2010 Apr 16&lt;/_date_display&gt;&lt;_db_updated&gt;PubMed&lt;/_db_updated&gt;&lt;_doi&gt;10.1016/j.bbrc.2010.03.114&lt;/_doi&gt;&lt;_issue&gt;4&lt;/_issue&gt;&lt;_journal&gt;Biochem Biophys Res Commun&lt;/_journal&gt;&lt;_keywords&gt;Adaptation, Physiological/*genetics; Arabidopsis/genetics/*physiology; Arabidopsis Proteins/genetics/*metabolism; *Freezing; *Gene Expression Regulation, Plant; Stress, Physiological/*genetics; Transcription Factors/genetics/*metabolism&lt;/_keywords&gt;&lt;_language&gt;eng&lt;/_language&gt;&lt;_modified&gt;60028681&lt;/_modified&gt;&lt;_ori_publication&gt;2010 Elsevier Inc. All rights reserved.&lt;/_ori_publication&gt;&lt;_pages&gt;1018-23&lt;/_pages&gt;&lt;_type_work&gt;Journal Article; Research Support, Non-U.S. Gov&amp;apos;t&lt;/_type_work&gt;&lt;_url&gt;http://www.ncbi.nlm.nih.gov/entrez/query.fcgi?cmd=Retrieve&amp;amp;db=pubmed&amp;amp;dopt=Abstract&amp;amp;list_uids=20331973&amp;amp;query_hl=1&lt;/_url&gt;&lt;_volume&gt;394&lt;/_volume&gt;&lt;/Details&gt;&lt;Extra&gt;&lt;DBUID&gt;{EDEA4BC4-0457-43F1-8F42-A2410C0142AC}&lt;/DBUID&gt;&lt;/Extra&gt;&lt;/Item&gt;&lt;/References&gt;&lt;/Group&gt;&lt;/Citation&gt;_x000a_"/>
    <w:docVar w:name="NE.Ref{5D1A45DC-522A-4617-8017-C806B05F60CD}" w:val=" ADDIN NE.Ref.{5D1A45DC-522A-4617-8017-C806B05F60CD} ADDIN NE.Ref.{5D1A45DC-522A-4617-8017-C806B05F60CD}&lt;Citation&gt;&lt;Group&gt;&lt;References&gt;&lt;Item&gt;&lt;ID&gt;154&lt;/ID&gt;&lt;UID&gt;{9037B199-48AF-4250-A8D4-A71A26935141}&lt;/UID&gt;&lt;Title&gt;A study of the role of gene TaMYB2 and an associated SNP in dehydration tolerance in common wheat&lt;/Title&gt;&lt;Template&gt;Journal Article&lt;/Template&gt;&lt;Star&gt;0&lt;/Star&gt;&lt;Tag&gt;0&lt;/Tag&gt;&lt;Author&gt;Garg, B; Lata, C; Prasad, M&lt;/Author&gt;&lt;Year&gt;2012&lt;/Year&gt;&lt;Details&gt;&lt;_accessed&gt;60041390&lt;/_accessed&gt;&lt;_accession_num&gt;23065204&lt;/_accession_num&gt;&lt;_author_adr&gt;International Centre for Genetic Engineering and Biotechnology, Aruna Asaf Ali Marg, New Delhi, 110067, India.&lt;/_author_adr&gt;&lt;_created&gt;60041383&lt;/_created&gt;&lt;_date&gt;59388480&lt;/_date&gt;&lt;_date_display&gt;2012 Dec&lt;/_date_display&gt;&lt;_db_updated&gt;PubMed&lt;/_db_updated&gt;&lt;_doi&gt;10.1007/s11033-012-1983-3&lt;/_doi&gt;&lt;_issue&gt;12&lt;/_issue&gt;&lt;_journal&gt;Mol Biol Rep&lt;/_journal&gt;&lt;_keywords&gt;Adaptation, Physiological/genetics; Alleles; Base Sequence; Computational Biology; Dehydration; Gene Expression Profiling; Gene Expression Regulation, Plant; Genes, Plant/*genetics; Genetic Loci/genetics; Genetic Markers; Lipid Peroxidation/genetics; Molecular Sequence Data; Plant Growth Regulators/pharmacology; Plant Proteins/*genetics/metabolism; Polymorphism, Single Nucleotide/*genetics; Reproducibility of Results; Reverse Transcriptase Polymerase Chain Reaction; Stress, Physiological/drug effects/genetics; Triticum/*genetics/*physiology&lt;/_keywords&gt;&lt;_language&gt;eng&lt;/_language&gt;&lt;_modified&gt;60041390&lt;/_modified&gt;&lt;_pages&gt;10865-71&lt;/_pages&gt;&lt;_type_work&gt;Journal Article; Research Support, Non-U.S. Gov&amp;apos;t&lt;/_type_work&gt;&lt;_url&gt;http://www.ncbi.nlm.nih.gov/entrez/query.fcgi?cmd=Retrieve&amp;amp;db=pubmed&amp;amp;dopt=Abstract&amp;amp;list_uids=23065204&amp;amp;query_hl=1&lt;/_url&gt;&lt;_volume&gt;39&lt;/_volume&gt;&lt;/Details&gt;&lt;Extra&gt;&lt;DBUID&gt;{EDEA4BC4-0457-43F1-8F42-A2410C0142AC}&lt;/DBUID&gt;&lt;/Extra&gt;&lt;/Item&gt;&lt;/References&gt;&lt;/Group&gt;&lt;/Citation&gt;_x000a_"/>
    <w:docVar w:name="NE.Ref{5F0CF92E-BAC9-4FEB-9590-6A35AD8DAAF5}" w:val=" ADDIN NE.Ref.{5F0CF92E-BAC9-4FEB-9590-6A35AD8DAAF5} ADDIN NE.Ref.{5F0CF92E-BAC9-4FEB-9590-6A35AD8DAAF5}&lt;Citation&gt;&lt;Group&gt;&lt;References&gt;&lt;Item&gt;&lt;ID&gt;168&lt;/ID&gt;&lt;UID&gt;{8B4A3E6B-9228-454C-AAC8-19F0C4C8B2A3}&lt;/UID&gt;&lt;Title&gt;More than 80R2R3-MYB regulatory genes in the genome of Arabidopsis thaliana&lt;/Title&gt;&lt;Template&gt;Journal Article&lt;/Template&gt;&lt;Star&gt;0&lt;/Star&gt;&lt;Tag&gt;0&lt;/Tag&gt;&lt;Author&gt;Romero, I; Fuertes, A; Benito, M J; Malpica, J M; Leyva, A; Paz-Ares, J&lt;/Author&gt;&lt;Year&gt;1998&lt;/Year&gt;&lt;Details&gt;&lt;_accessed&gt;60041441&lt;/_accessed&gt;&lt;_accession_num&gt;9628022&lt;/_accession_num&gt;&lt;_author_adr&gt;Centro Nacional de Biotecnologia-CSIC, Madrid, Spain.&lt;/_author_adr&gt;&lt;_created&gt;60041437&lt;/_created&gt;&lt;_date&gt;51716160&lt;/_date&gt;&lt;_date_display&gt;1998 May&lt;/_date_display&gt;&lt;_db_updated&gt;PubMed&lt;/_db_updated&gt;&lt;_issue&gt;3&lt;/_issue&gt;&lt;_journal&gt;Plant J&lt;/_journal&gt;&lt;_keywords&gt;Amino Acid Sequence; Arabidopsis/*genetics; Base Sequence; DNA, Plant; DNA-Binding Proteins/*genetics/metabolism; *Genes, Regulator; *Genome, Plant; Molecular Sequence Data; Phylogeny; Sequence Homology, Amino Acid; Transcription Factors/*genetics/metabolism&lt;/_keywords&gt;&lt;_language&gt;eng&lt;/_language&gt;&lt;_modified&gt;60041441&lt;/_modified&gt;&lt;_pages&gt;273-84&lt;/_pages&gt;&lt;_type_work&gt;Journal Article; Research Support, Non-U.S. Gov&amp;apos;t&lt;/_type_work&gt;&lt;_url&gt;http://www.ncbi.nlm.nih.gov/entrez/query.fcgi?cmd=Retrieve&amp;amp;db=pubmed&amp;amp;dopt=Abstract&amp;amp;list_uids=9628022&amp;amp;query_hl=1&lt;/_url&gt;&lt;_volume&gt;14&lt;/_volume&gt;&lt;/Details&gt;&lt;Extra&gt;&lt;DBUID&gt;{EDEA4BC4-0457-43F1-8F42-A2410C0142AC}&lt;/DBUID&gt;&lt;/Extra&gt;&lt;/Item&gt;&lt;/References&gt;&lt;/Group&gt;&lt;/Citation&gt;_x000a_"/>
    <w:docVar w:name="NE.Ref{6E869F7F-7F97-4531-908A-974BF04B1183}" w:val=" ADDIN NE.Ref.{6E869F7F-7F97-4531-908A-974BF04B1183} ADDIN NE.Ref.{6E869F7F-7F97-4531-908A-974BF04B1183}&lt;Citation&gt;&lt;Group&gt;&lt;References&gt;&lt;Item&gt;&lt;ID&gt;169&lt;/ID&gt;&lt;UID&gt;{EE3C4175-20EF-4850-9EC9-E09D361E248B}&lt;/UID&gt;&lt;Title&gt;An Arabidopsis myb homolog is induced by dehydration stress and its gene product  binds to the conserved MYB recognition sequence&lt;/Title&gt;&lt;Template&gt;Journal Article&lt;/Template&gt;&lt;Star&gt;0&lt;/Star&gt;&lt;Tag&gt;0&lt;/Tag&gt;&lt;Author&gt;Urao, T; Yamaguchi-Shinozaki, K; Urao, S; Shinozaki, K&lt;/Author&gt;&lt;Year&gt;1993&lt;/Year&gt;&lt;Details&gt;&lt;_accessed&gt;60041441&lt;/_accessed&gt;&lt;_accession_num&gt;8312738&lt;/_accession_num&gt;&lt;_author_adr&gt;Institute of Physical and Chemical Research (RIKEN), Tsukuba Life Science Center, Ibaraki, Japan.&lt;/_author_adr&gt;&lt;_created&gt;60041440&lt;/_created&gt;&lt;_date&gt;49351680&lt;/_date&gt;&lt;_date_display&gt;1993 Nov&lt;/_date_display&gt;&lt;_db_updated&gt;PubMed&lt;/_db_updated&gt;&lt;_doi&gt;10.1105/tpc.5.11.1529&lt;/_doi&gt;&lt;_issue&gt;11&lt;/_issue&gt;&lt;_journal&gt;Plant Cell&lt;/_journal&gt;&lt;_keywords&gt;Abscisic Acid/pharmacology; Amino Acid Sequence; Arabidopsis/*genetics; *Arabidopsis Proteins; Base Sequence; Cloning, Molecular; Cold Temperature; Conserved Sequence; DNA-Binding Proteins/chemistry; Desiccation; Escherichia coli/genetics; *Gene Expression Regulation/drug effects; Genetic Vectors; Hot Temperature; Molecular Sequence Data; *Oncogenes; Plant Proteins/chemistry/*genetics; Protein Binding; Proto-Oncogene Proteins/*genetics; Proto-Oncogene Proteins c-myb; Recombinant Fusion Proteins/chemistry; Salts; Sequence Analysis, DNA; Trans-Activators/chemistry/*genetics&lt;/_keywords&gt;&lt;_language&gt;eng&lt;/_language&gt;&lt;_modified&gt;60041441&lt;/_modified&gt;&lt;_pages&gt;1529-39&lt;/_pages&gt;&lt;_type_work&gt;Journal Article; Research Support, Non-U.S. Gov&amp;apos;t&lt;/_type_work&gt;&lt;_url&gt;http://www.ncbi.nlm.nih.gov/entrez/query.fcgi?cmd=Retrieve&amp;amp;db=pubmed&amp;amp;dopt=Abstract&amp;amp;list_uids=8312738&amp;amp;query_hl=1&lt;/_url&gt;&lt;_volume&gt;5&lt;/_volume&gt;&lt;/Details&gt;&lt;Extra&gt;&lt;DBUID&gt;{EDEA4BC4-0457-43F1-8F42-A2410C0142AC}&lt;/DBUID&gt;&lt;/Extra&gt;&lt;/Item&gt;&lt;/References&gt;&lt;/Group&gt;&lt;/Citation&gt;_x000a_"/>
    <w:docVar w:name="NE.Ref{6F7A2A51-D0D4-4FF0-ACF3-60526EC781E3}" w:val=" ADDIN NE.Ref.{6F7A2A51-D0D4-4FF0-ACF3-60526EC781E3} ADDIN NE.Ref.{6F7A2A51-D0D4-4FF0-ACF3-60526EC781E3}&lt;Citation&gt;&lt;Group&gt;&lt;References&gt;&lt;Item&gt;&lt;ID&gt;179&lt;/ID&gt;&lt;UID&gt;{641E91C2-8C46-4F75-B874-F03153259FDE}&lt;/UID&gt;&lt;Title&gt;DNA and redox state induced conformational changes in the DNA-binding domain of the Myb oncoprotein&lt;/Title&gt;&lt;Template&gt;Journal Article&lt;/Template&gt;&lt;Star&gt;0&lt;/Star&gt;&lt;Tag&gt;0&lt;/Tag&gt;&lt;Author&gt;Myrset, A H; Bostad, A; Jamin, N; Lirsac, P N; Toma, F; Gabrielsen, O S&lt;/Author&gt;&lt;Year&gt;1993&lt;/Year&gt;&lt;Details&gt;&lt;_accessed&gt;60041541&lt;/_accessed&gt;&lt;_accession_num&gt;8223472&lt;/_accession_num&gt;&lt;_author_adr&gt;Department of Biochemistry, University of Oslo, Norway.&lt;/_author_adr&gt;&lt;_created&gt;60041538&lt;/_created&gt;&lt;_date&gt;49394880&lt;/_date&gt;&lt;_date_display&gt;1993 Dec&lt;/_date_display&gt;&lt;_db_updated&gt;PubMed&lt;/_db_updated&gt;&lt;_issue&gt;12&lt;/_issue&gt;&lt;_journal&gt;EMBO J&lt;/_journal&gt;&lt;_keywords&gt;Amino Acid Sequence; Animals; Base Sequence; Chickens; Circular Dichroism; DNA/*metabolism; *Helix-Loop-Helix Motifs; Magnetic Resonance Spectroscopy; Molecular Sequence Data; Mutagenesis, Site-Directed; Oncogene Proteins v-myb; Oxidation-Reduction; Protein Binding; Repetitive Sequences, Nucleic Acid; Retroviridae Proteins, Oncogenic/chemistry/*metabolism&lt;/_keywords&gt;&lt;_language&gt;eng&lt;/_language&gt;&lt;_modified&gt;60041541&lt;/_modified&gt;&lt;_pages&gt;4625-33&lt;/_pages&gt;&lt;_type_work&gt;Journal Article; Research Support, Non-U.S. Gov&amp;apos;t&lt;/_type_work&gt;&lt;_url&gt;http://www.ncbi.nlm.nih.gov/entrez/query.fcgi?cmd=Retrieve&amp;amp;db=pubmed&amp;amp;dopt=Abstract&amp;amp;list_uids=8223472&amp;amp;query_hl=1&lt;/_url&gt;&lt;_volume&gt;12&lt;/_volume&gt;&lt;/Details&gt;&lt;Extra&gt;&lt;DBUID&gt;{EDEA4BC4-0457-43F1-8F42-A2410C0142AC}&lt;/DBUID&gt;&lt;/Extra&gt;&lt;/Item&gt;&lt;/References&gt;&lt;/Group&gt;&lt;/Citation&gt;_x000a_"/>
    <w:docVar w:name="NE.Ref{6FA7847E-735C-40CE-B489-95099E6EF4EF}" w:val=" ADDIN NE.Ref.{6FA7847E-735C-40CE-B489-95099E6EF4EF} ADDIN NE.Ref.{6FA7847E-735C-40CE-B489-95099E6EF4EF}&lt;Citation&gt;&lt;Group&gt;&lt;References&gt;&lt;Item&gt;&lt;ID&gt;172&lt;/ID&gt;&lt;UID&gt;{84E24305-207F-4A24-A772-0093909B9101}&lt;/UID&gt;&lt;Title&gt;AtMYB2 transcription factor can interact with the CMO promoter and regulate its downstream gene expression&lt;/Title&gt;&lt;Template&gt;Journal Article&lt;/Template&gt;&lt;Star&gt;0&lt;/Star&gt;&lt;Tag&gt;0&lt;/Tag&gt;&lt;Author&gt;Yu, L; Chen, H; Guan, Q; Ma, X; Zheng, X; Zou, C; Li, Q&lt;/Author&gt;&lt;Year&gt;2012&lt;/Year&gt;&lt;Details&gt;&lt;_accessed&gt;60041548&lt;/_accessed&gt;&lt;_accession_num&gt;22714268&lt;/_accession_num&gt;&lt;_author_adr&gt;College of Life Sciences, Liaoning Normal University, 1 South Liushu Street, Ganjingzi District, Dalian 116081, Liaoning, China.&lt;/_author_adr&gt;&lt;_created&gt;60041445&lt;/_created&gt;&lt;_date&gt;59257440&lt;/_date&gt;&lt;_date_display&gt;2012 Sep&lt;/_date_display&gt;&lt;_db_updated&gt;PubMed&lt;/_db_updated&gt;&lt;_doi&gt;10.1007/s10529-012-0961-0&lt;/_doi&gt;&lt;_issue&gt;9&lt;/_issue&gt;&lt;_journal&gt;Biotechnol Lett&lt;/_journal&gt;&lt;_keywords&gt;Arabidopsis/*genetics; Arabidopsis Proteins/*metabolism; Cloning, Molecular; DNA, Plant/metabolism; Electrophoretic Mobility Shift Assay; Escherichia coli/genetics; *Gene Expression Regulation, Plant; Genes, Reporter; Glucuronidase/analysis/genetics; Oxygenases/*biosynthesis; Plants, Genetically Modified; *Promoter Regions, Genetic; Protein Binding; Tobacco/genetics; Trans-Activators/*metabolism&lt;/_keywords&gt;&lt;_language&gt;eng&lt;/_language&gt;&lt;_modified&gt;60041446&lt;/_modified&gt;&lt;_pages&gt;1749-55&lt;/_pages&gt;&lt;_type_work&gt;Journal Article; Research Support, Non-U.S. Gov&amp;apos;t&lt;/_type_work&gt;&lt;_url&gt;http://www.ncbi.nlm.nih.gov/entrez/query.fcgi?cmd=Retrieve&amp;amp;db=pubmed&amp;amp;dopt=Abstract&amp;amp;list_uids=22714268&amp;amp;query_hl=1&lt;/_url&gt;&lt;_volume&gt;34&lt;/_volume&gt;&lt;/Details&gt;&lt;Extra&gt;&lt;DBUID&gt;{EDEA4BC4-0457-43F1-8F42-A2410C0142AC}&lt;/DBUID&gt;&lt;/Extra&gt;&lt;/Item&gt;&lt;/References&gt;&lt;/Group&gt;&lt;/Citation&gt;_x000a_"/>
    <w:docVar w:name="NE.Ref{71E0886B-792F-4967-8F0F-957E6FFFA2FC}" w:val=" ADDIN NE.Ref.{71E0886B-792F-4967-8F0F-957E6FFFA2FC} ADDIN NE.Ref.{71E0886B-792F-4967-8F0F-957E6FFFA2FC}&lt;Citation&gt;&lt;Group&gt;&lt;References&gt;&lt;Item&gt;&lt;ID&gt;167&lt;/ID&gt;&lt;UID&gt;{36046027-729E-4951-8631-AD629074CC56}&lt;/UID&gt;&lt;Title&gt;The interaction between MYB proteins and their target DNA binding sites&lt;/Title&gt;&lt;Template&gt;Journal Article&lt;/Template&gt;&lt;Star&gt;0&lt;/Star&gt;&lt;Tag&gt;0&lt;/Tag&gt;&lt;Author&gt;Prouse, Michael B; Campbell, Malcolm M&lt;/Author&gt;&lt;Year&gt;2012&lt;/Year&gt;&lt;Details&gt;&lt;_accessed&gt;60041441&lt;/_accessed&gt;&lt;_created&gt;60041432&lt;/_created&gt;&lt;_db_updated&gt;GoogleScholar&lt;/_db_updated&gt;&lt;_issue&gt;1&lt;/_issue&gt;&lt;_journal&gt;Biochimica et Biophysica Acta (BBA)-Gene Regulatory Mechanisms&lt;/_journal&gt;&lt;_modified&gt;60041441&lt;/_modified&gt;&lt;_pages&gt;67--77&lt;/_pages&gt;&lt;_volume&gt;1819&lt;/_volume&gt;&lt;/Details&gt;&lt;Extra&gt;&lt;DBUID&gt;{EDEA4BC4-0457-43F1-8F42-A2410C0142AC}&lt;/DBUID&gt;&lt;/Extra&gt;&lt;/Item&gt;&lt;/References&gt;&lt;/Group&gt;&lt;/Citation&gt;_x000a_"/>
    <w:docVar w:name="NE.Ref{740B3E17-99D1-45D6-BA23-84F6D19C90F6}" w:val=" ADDIN NE.Ref.{740B3E17-99D1-45D6-BA23-84F6D19C90F6} ADDIN NE.Ref.{740B3E17-99D1-45D6-BA23-84F6D19C90F6}&lt;Citation&gt;&lt;Group&gt;&lt;References&gt;&lt;Item&gt;&lt;ID&gt;180&lt;/ID&gt;&lt;UID&gt;{7A6E05F6-4DD5-4BF5-B595-F7D71841CE33}&lt;/UID&gt;&lt;Title&gt;Two cysteines in plant R2R3 MYB domains participate in REDOX-dependent DNA binding&lt;/Title&gt;&lt;Template&gt;Journal Article&lt;/Template&gt;&lt;Star&gt;0&lt;/Star&gt;&lt;Tag&gt;0&lt;/Tag&gt;&lt;Author&gt;Heine, G F; Hernandez, J M; Grotewold, E&lt;/Author&gt;&lt;Year&gt;2004&lt;/Year&gt;&lt;Details&gt;&lt;_accessed&gt;60041587&lt;/_accessed&gt;&lt;_created&gt;60041538&lt;/_created&gt;&lt;_modified&gt;60041587&lt;/_modified&gt;&lt;_url&gt;http://www.ncbi.nlm.nih.gov/entrez/query.fcgi?cmd=Retrieve&amp;amp;db=pubmed&amp;amp;dopt=Abstract&amp;amp;list_uids=15237103&amp;amp;query_hl=1&lt;/_url&gt;&lt;_journal&gt;J Biol Chem&lt;/_journal&gt;&lt;_volume&gt;279&lt;/_volume&gt;&lt;_issue&gt;36&lt;/_issue&gt;&lt;_pages&gt;37878-85&lt;/_pages&gt;&lt;_doi&gt;10.1074/jbc.M405166200&lt;/_doi&gt;&lt;_date_display&gt;2004 Sep 3&lt;/_date_display&gt;&lt;_date&gt;55052640&lt;/_date&gt;&lt;_type_work&gt;Journal Article; Research Support, Non-U.S. Gov&amp;apos;t&lt;/_type_work&gt;&lt;_accession_num&gt;15237103&lt;/_accession_num&gt;&lt;_keywords&gt;Amino Acid Sequence; Arabidopsis Proteins/*chemistry/metabolism; Base Sequence; Cysteine/*physiology; DNA, Plant/chemistry/*metabolism; Disulfides/metabolism; Fluorescent Dyes; Molecular Sequence Data; Oxidation-Reduction; Protein Binding; Recombinant Proteins/chemistry/metabolism; Sequence Homology, Amino Acid; Transcription Factors/*chemistry/metabolism&lt;/_keywords&gt;&lt;_author_adr&gt;Department of Plant Cellular and Molecular Biology and Plant Biotechnology Center, The Ohio State University, Columbus, Ohio 43210, USA.&lt;/_author_adr&gt;&lt;_language&gt;eng&lt;/_language&gt;&lt;_db_updated&gt;PubMed&lt;/_db_updated&gt;&lt;/Details&gt;&lt;Extra&gt;&lt;DBUID&gt;{EDEA4BC4-0457-43F1-8F42-A2410C0142AC}&lt;/DBUID&gt;&lt;/Extra&gt;&lt;/Item&gt;&lt;/References&gt;&lt;/Group&gt;&lt;/Citation&gt;_x000a_"/>
    <w:docVar w:name="NE.Ref{76D44601-8390-414B-BA8D-86D3E85A7C48}" w:val=" ADDIN NE.Ref.{76D44601-8390-414B-BA8D-86D3E85A7C48} ADDIN NE.Ref.{76D44601-8390-414B-BA8D-86D3E85A7C48}&lt;Citation&gt;&lt;Group&gt;&lt;References&gt;&lt;Item&gt;&lt;ID&gt;155&lt;/ID&gt;&lt;UID&gt;{D320E546-4237-4F28-BF14-34B1A78E6C0D}&lt;/UID&gt;&lt;Title&gt;A wheat R2R3-MYB gene, TaMYB30-B, improves drought stress tolerance in transgenic Arabidopsis&lt;/Title&gt;&lt;Template&gt;Journal Article&lt;/Template&gt;&lt;Star&gt;0&lt;/Star&gt;&lt;Tag&gt;0&lt;/Tag&gt;&lt;Author&gt;Zhang, L; Zhao, G; Xia, C; Jia, J; Liu, X; Kong, X&lt;/Author&gt;&lt;Year&gt;2012&lt;/Year&gt;&lt;Details&gt;&lt;_accessed&gt;60041390&lt;/_accessed&gt;&lt;_accession_num&gt;23048128&lt;/_accession_num&gt;&lt;_author_adr&gt;Key Laboratory of Crop Germplasm Resources and Utilization, Ministry of Agriculture, The National Key Facility for Crop Gene Resources and Genetic Improvement, Institute of Crop Science, Chinese Academy of Agricultural Sciences, Beijing 100081, China.&lt;/_author_adr&gt;&lt;_created&gt;60041388&lt;/_created&gt;&lt;_date&gt;59300640&lt;/_date&gt;&lt;_date_display&gt;2012 Oct&lt;/_date_display&gt;&lt;_db_updated&gt;PubMed&lt;/_db_updated&gt;&lt;_doi&gt;10.1093/jxb/ers237&lt;/_doi&gt;&lt;_issue&gt;16&lt;/_issue&gt;&lt;_journal&gt;J Exp Bot&lt;/_journal&gt;&lt;_keywords&gt;Amino Acid Sequence; Arabidopsis/genetics/*physiology; Droughts; Gene Expression; Gene Expression Regulation, Plant; Molecular Sequence Data; Phylogeny; Plant Proteins/*genetics/*metabolism; Plants/classification/genetics; Plants, Genetically Modified/genetics/*physiology; Triticum/classification/*genetics/metabolism&lt;/_keywords&gt;&lt;_language&gt;eng&lt;/_language&gt;&lt;_modified&gt;60041390&lt;/_modified&gt;&lt;_pages&gt;5873-85&lt;/_pages&gt;&lt;_type_work&gt;Journal Article; Research Support, Non-U.S. Gov&amp;apos;t&lt;/_type_work&gt;&lt;_url&gt;http://www.ncbi.nlm.nih.gov/entrez/query.fcgi?cmd=Retrieve&amp;amp;db=pubmed&amp;amp;dopt=Abstract&amp;amp;list_uids=23048128&amp;amp;query_hl=1&lt;/_url&gt;&lt;_volume&gt;63&lt;/_volume&gt;&lt;/Details&gt;&lt;Extra&gt;&lt;DBUID&gt;{EDEA4BC4-0457-43F1-8F42-A2410C0142AC}&lt;/DBUID&gt;&lt;/Extra&gt;&lt;/Item&gt;&lt;/References&gt;&lt;/Group&gt;&lt;/Citation&gt;_x000a_"/>
    <w:docVar w:name="NE.Ref{77C529F7-76BC-4C58-B038-9A8FA5339B14}" w:val=" ADDIN NE.Ref.{77C529F7-76BC-4C58-B038-9A8FA5339B14} ADDIN NE.Ref.{77C529F7-76BC-4C58-B038-9A8FA5339B14}&lt;Citation&gt;&lt;Group&gt;&lt;References&gt;&lt;Item&gt;&lt;ID&gt;162&lt;/ID&gt;&lt;UID&gt;{0663198D-3EA9-4C40-9A8F-94EADE439320}&lt;/UID&gt;&lt;Title&gt;A MYB transcription factor from the grey mangrove is induced by stress and confers NaCl tolerance in tobacco&lt;/Title&gt;&lt;Template&gt;Journal Article&lt;/Template&gt;&lt;Star&gt;0&lt;/Star&gt;&lt;Tag&gt;0&lt;/Tag&gt;&lt;Author&gt;Ganesan, G; Sankararamasubramanian, H M; Harikrishnan, M; Ganpudi, A; Parida, A&lt;/Author&gt;&lt;Year&gt;2012&lt;/Year&gt;&lt;Details&gt;&lt;_accessed&gt;60041406&lt;/_accessed&gt;&lt;_accession_num&gt;22904269&lt;/_accession_num&gt;&lt;_author_adr&gt;M. S. Swaminathan Research Foundation, Biotechnology, Taramani, Chennai 600113, India.&lt;/_author_adr&gt;&lt;_created&gt;60041401&lt;/_created&gt;&lt;_date&gt;59168160&lt;/_date&gt;&lt;_date_display&gt;2012 Jul&lt;/_date_display&gt;&lt;_db_updated&gt;PubMed&lt;/_db_updated&gt;&lt;_doi&gt;10.1093/jxb/ers135&lt;/_doi&gt;&lt;_issue&gt;12&lt;/_issue&gt;&lt;_journal&gt;J Exp Bot&lt;/_journal&gt;&lt;_keywords&gt;Abscisic Acid/pharmacology; Amino Acid Sequence; Avicennia/drug effects/*genetics/physiology; Gene Expression Regulation, Plant/*drug effects/genetics; Light; Molecular Sequence Data; Plant Leaves/drug effects/genetics/metabolism/radiation effects; Plant Proteins/genetics/metabolism; Plant Roots/drug effects/genetics/metabolism/radiation effects; Plant Stems/drug effects/genetics/metabolism/radiation effects; Plants, Genetically Modified; Promoter Regions, Genetic/genetics; Protein Structure, Tertiary; Recombinant Fusion Proteins; Saccharomyces cerevisiae/genetics/metabolism; Salt-Tolerance; Seedling/drug effects/genetics/metabolism/radiation effects; Seeds/drug effects/genetics/metabolism/radiation effects; Sequence Alignment; Sodium Chloride/*pharmacology; Stress, Physiological; Tobacco/drug effects/genetics/*physiology/radiation effects; Transcription Factors/genetics/*metabolism; Transcriptional Activation&lt;/_keywords&gt;&lt;_language&gt;eng&lt;/_language&gt;&lt;_modified&gt;60041406&lt;/_modified&gt;&lt;_pages&gt;4549-61&lt;/_pages&gt;&lt;_type_work&gt;Journal Article; Research Support, Non-U.S. Gov&amp;apos;t&lt;/_type_work&gt;&lt;_url&gt;http://www.ncbi.nlm.nih.gov/entrez/query.fcgi?cmd=Retrieve&amp;amp;db=pubmed&amp;amp;dopt=Abstract&amp;amp;list_uids=22904269&amp;amp;query_hl=1&lt;/_url&gt;&lt;_volume&gt;63&lt;/_volume&gt;&lt;/Details&gt;&lt;Extra&gt;&lt;DBUID&gt;{EDEA4BC4-0457-43F1-8F42-A2410C0142AC}&lt;/DBUID&gt;&lt;/Extra&gt;&lt;/Item&gt;&lt;/References&gt;&lt;/Group&gt;&lt;/Citation&gt;_x000a_"/>
    <w:docVar w:name="NE.Ref{784A98A8-8372-4E94-B1B9-EAFC031C17A1}" w:val=" ADDIN NE.Ref.{784A98A8-8372-4E94-B1B9-EAFC031C17A1} ADDIN NE.Ref.{784A98A8-8372-4E94-B1B9-EAFC031C17A1}&lt;Citation&gt;&lt;Group&gt;&lt;References&gt;&lt;Item&gt;&lt;ID&gt;137&lt;/ID&gt;&lt;UID&gt;{BBF3633B-4FBE-41B6-91F3-9009BF121DD4}&lt;/UID&gt;&lt;Title&gt;Nucleotide sequence of the retroviral leukemia gene v-myb and its cellular progenitor c-myb: the architecture of a transduced oncogene&lt;/Title&gt;&lt;Template&gt;Journal Article&lt;/Template&gt;&lt;Star&gt;0&lt;/Star&gt;&lt;Tag&gt;0&lt;/Tag&gt;&lt;Author&gt;Klempnauer, K H; Gonda, T J; Bishop, J M&lt;/Author&gt;&lt;Year&gt;1982&lt;/Year&gt;&lt;Details&gt;&lt;_accessed&gt;60027488&lt;/_accessed&gt;&lt;_accession_num&gt;6297766&lt;/_accession_num&gt;&lt;_created&gt;60027486&lt;/_created&gt;&lt;_date&gt;43608960&lt;/_date&gt;&lt;_date_display&gt;1982 Dec&lt;/_date_display&gt;&lt;_db_updated&gt;PubMed&lt;/_db_updated&gt;&lt;_issue&gt;2 Pt 1&lt;/_issue&gt;&lt;_journal&gt;Cell&lt;/_journal&gt;&lt;_keywords&gt;Animals; Avian leukosis virus/*genetics; Avian myeloblastosis virus/*genetics; Bacteriophage lambda/genetics; Base Sequence; Chickens; *Cloning, Molecular; DNA Restriction Enzymes; *Genes, Viral; *Oncogenes; *Transduction, Genetic&lt;/_keywords&gt;&lt;_language&gt;eng&lt;/_language&gt;&lt;_modified&gt;60027488&lt;/_modified&gt;&lt;_pages&gt;453-63&lt;/_pages&gt;&lt;_type_work&gt;Journal Article; Research Support, Non-U.S. Gov&amp;apos;t; Research Support, U.S. Gov&amp;apos;t, P.H.S.&lt;/_type_work&gt;&lt;_url&gt;http://www.ncbi.nlm.nih.gov/entrez/query.fcgi?cmd=Retrieve&amp;amp;db=pubmed&amp;amp;dopt=Abstract&amp;amp;list_uids=6297766&amp;amp;query_hl=1&lt;/_url&gt;&lt;_volume&gt;31&lt;/_volume&gt;&lt;/Details&gt;&lt;Extra&gt;&lt;DBUID&gt;{EDEA4BC4-0457-43F1-8F42-A2410C0142AC}&lt;/DBUID&gt;&lt;/Extra&gt;&lt;/Item&gt;&lt;/References&gt;&lt;/Group&gt;&lt;/Citation&gt;_x000a_"/>
    <w:docVar w:name="NE.Ref{79132423-4307-46CA-A6C5-3BE9664FCFC7}" w:val=" ADDIN NE.Ref.{79132423-4307-46CA-A6C5-3BE9664FCFC7} ADDIN NE.Ref.{79132423-4307-46CA-A6C5-3BE9664FCFC7}&lt;Citation&gt;&lt;Group&gt;&lt;References&gt;&lt;Item&gt;&lt;ID&gt;142&lt;/ID&gt;&lt;UID&gt;{99FFD9CF-DFFF-4FE2-BFF0-15C6A9BB5588}&lt;/UID&gt;&lt;Title&gt;Molecular characterization of 60 isolated wheat MYB genes and analysis of their expression during abiotic stress&lt;/Title&gt;&lt;Template&gt;Journal Article&lt;/Template&gt;&lt;Star&gt;0&lt;/Star&gt;&lt;Tag&gt;0&lt;/Tag&gt;&lt;Author&gt;Zhang, L; Zhao, G; Jia, J; Liu, X; Kong, X&lt;/Author&gt;&lt;Year&gt;2012&lt;/Year&gt;&lt;Details&gt;&lt;_accessed&gt;60041348&lt;/_accessed&gt;&lt;_accession_num&gt;21934119&lt;/_accession_num&gt;&lt;_author_adr&gt;The National Key Facility for Crop Gene Resources and Genetic Improvement, Institute of Crop Sciences, Chinese Academy of Agricultural Sciences, Beijing 100081, China.&lt;/_author_adr&gt;&lt;_created&gt;60041347&lt;/_created&gt;&lt;_date&gt;58906080&lt;/_date&gt;&lt;_date_display&gt;2012 Jan&lt;/_date_display&gt;&lt;_db_updated&gt;PubMed&lt;/_db_updated&gt;&lt;_doi&gt;10.1093/jxb/err264&lt;/_doi&gt;&lt;_issue&gt;1&lt;/_issue&gt;&lt;_journal&gt;J Exp Bot&lt;/_journal&gt;&lt;_keywords&gt;Arabidopsis/classification/genetics/physiology; Base Sequence; DNA Primers; *Gene Expression Profiling; *Genes, Plant; *Genes, myb; Phylogeny; Plants, Genetically Modified; Reverse Transcriptase Polymerase Chain Reaction; *Stress, Physiological; Triticum/*genetics/physiology&lt;/_keywords&gt;&lt;_language&gt;eng&lt;/_language&gt;&lt;_modified&gt;60041348&lt;/_modified&gt;&lt;_pages&gt;203-14&lt;/_pages&gt;&lt;_type_work&gt;Journal Article; Research Support, Non-U.S. Gov&amp;apos;t&lt;/_type_work&gt;&lt;_url&gt;http://www.ncbi.nlm.nih.gov/entrez/query.fcgi?cmd=Retrieve&amp;amp;db=pubmed&amp;amp;dopt=Abstract&amp;amp;list_uids=21934119&amp;amp;query_hl=1&lt;/_url&gt;&lt;_volume&gt;63&lt;/_volume&gt;&lt;/Details&gt;&lt;Extra&gt;&lt;DBUID&gt;{EDEA4BC4-0457-43F1-8F42-A2410C0142AC}&lt;/DBUID&gt;&lt;/Extra&gt;&lt;/Item&gt;&lt;/References&gt;&lt;/Group&gt;&lt;/Citation&gt;_x000a_"/>
    <w:docVar w:name="NE.Ref{7CC346BD-8E5A-477C-A877-4C275216C0A1}" w:val=" ADDIN NE.Ref.{7CC346BD-8E5A-477C-A877-4C275216C0A1} ADDIN NE.Ref.{7CC346BD-8E5A-477C-A877-4C275216C0A1}&lt;Citation&gt;&lt;Group&gt;&lt;References&gt;&lt;Item&gt;&lt;ID&gt;132&lt;/ID&gt;&lt;UID&gt;{96B3F6F0-BE21-4AC3-8220-339D285222EF}&lt;/UID&gt;&lt;Title&gt;Plant tolerance to drought and salinity: stress regulating transcription factors  and their functional significance in the cellular transcriptional network&lt;/Title&gt;&lt;Template&gt;Journal Article&lt;/Template&gt;&lt;Star&gt;0&lt;/Star&gt;&lt;Tag&gt;0&lt;/Tag&gt;&lt;Author&gt;Golldack, D; Luking, I; Yang, O&lt;/Author&gt;&lt;Year&gt;2011&lt;/Year&gt;&lt;Details&gt;&lt;_accessed&gt;60027385&lt;/_accessed&gt;&lt;_accession_num&gt;21476089&lt;/_accession_num&gt;&lt;_author_adr&gt;Department of Biochemistry and Physiology of Plants, Faculty of Biology, Bielefeld University, 33615, Bielefeld, Germany. dortje.golldack@uni-bielefeld.de&lt;/_author_adr&gt;&lt;_created&gt;60027384&lt;/_created&gt;&lt;_date&gt;58685760&lt;/_date&gt;&lt;_date_display&gt;2011 Aug&lt;/_date_display&gt;&lt;_db_updated&gt;PubMed&lt;/_db_updated&gt;&lt;_doi&gt;10.1007/s00299-011-1068-0&lt;/_doi&gt;&lt;_issue&gt;8&lt;/_issue&gt;&lt;_journal&gt;Plant Cell Rep&lt;/_journal&gt;&lt;_keywords&gt;Adaptation, Physiological; *Droughts; Epigenesis, Genetic; Gene Expression Regulation, Plant; *Gene Regulatory Networks; MicroRNAs/genetics; Plant Proteins/genetics; RNA Interference; Salinity; Salt-Tolerant Plants/*genetics; *Stress, Physiological; Transcription Factors/*genetics&lt;/_keywords&gt;&lt;_language&gt;eng&lt;/_language&gt;&lt;_modified&gt;60027385&lt;/_modified&gt;&lt;_pages&gt;1383-91&lt;/_pages&gt;&lt;_type_work&gt;Journal Article; Research Support, Non-U.S. Gov&amp;apos;t; Review&lt;/_type_work&gt;&lt;_url&gt;http://www.ncbi.nlm.nih.gov/entrez/query.fcgi?cmd=Retrieve&amp;amp;db=pubmed&amp;amp;dopt=Abstract&amp;amp;list_uids=21476089&amp;amp;query_hl=1&lt;/_url&gt;&lt;_volume&gt;30&lt;/_volume&gt;&lt;/Details&gt;&lt;Extra&gt;&lt;DBUID&gt;{EDEA4BC4-0457-43F1-8F42-A2410C0142AC}&lt;/DBUID&gt;&lt;/Extra&gt;&lt;/Item&gt;&lt;/References&gt;&lt;/Group&gt;&lt;/Citation&gt;_x000a_"/>
    <w:docVar w:name="NE.Ref{841FD5B4-ABAC-40FB-86C3-A7D1B89B8E9D}" w:val=" ADDIN NE.Ref.{841FD5B4-ABAC-40FB-86C3-A7D1B89B8E9D} ADDIN NE.Ref.{841FD5B4-ABAC-40FB-86C3-A7D1B89B8E9D}&lt;Citation&gt;&lt;Group&gt;&lt;References&gt;&lt;Item&gt;&lt;ID&gt;139&lt;/ID&gt;&lt;UID&gt;{EDBC350F-8D90-43C5-90CA-2FFF8448D15C}&lt;/UID&gt;&lt;Title&gt;Transgenic expression of TaMYB2A confers enhanced tolerance to multiple abiotic stresses in Arabidopsis&lt;/Title&gt;&lt;Template&gt;Journal Article&lt;/Template&gt;&lt;Star&gt;0&lt;/Star&gt;&lt;Tag&gt;0&lt;/Tag&gt;&lt;Author&gt;Mao, X; Jia, D; Li, A; Zhang, H; Tian, S; Zhang, X; Jia, J; Jing, R&lt;/Author&gt;&lt;Year&gt;2011&lt;/Year&gt;&lt;Details&gt;&lt;_accessed&gt;60028699&lt;/_accessed&gt;&lt;_accession_num&gt;21472467&lt;/_accession_num&gt;&lt;_author_adr&gt;National Key Facility for Crop Gene Resources and Genetic Improvement, Key Lab of Crop Resources and Utilization, MOA, Beijing, People&amp;apos;s Republic of China.&lt;/_author_adr&gt;&lt;_created&gt;60028699&lt;/_created&gt;&lt;_date&gt;58730400&lt;/_date&gt;&lt;_date_display&gt;2011 Sep&lt;/_date_display&gt;&lt;_db_updated&gt;PubMed&lt;/_db_updated&gt;&lt;_doi&gt;10.1007/s10142-011-0218-3&lt;/_doi&gt;&lt;_issue&gt;3&lt;/_issue&gt;&lt;_journal&gt;Funct Integr Genomics&lt;/_journal&gt;&lt;_keywords&gt;Amino Acid Sequence; Arabidopsis/*genetics/growth &amp;amp; development/metabolism; Base Sequence; Cold Temperature; Droughts; Gene Components; Gene Expression; Molecular Sequence Data; Phylogeny; Plant Proteins/*genetics/metabolism; Plants, Genetically Modified/*genetics/growth &amp;amp; development/metabolism; Proline/metabolism; Protein Transport; Salt-Tolerant Plants/genetics; Seedling; Sequence Homology, Amino Acid; Sequence Homology, Nucleic Acid; Sodium Chloride/metabolism; Stress, Physiological; Transcription Factors/*genetics/metabolism; Triticum/genetics; Water/metabolism&lt;/_keywords&gt;&lt;_language&gt;eng&lt;/_language&gt;&lt;_modified&gt;60028699&lt;/_modified&gt;&lt;_pages&gt;445-65&lt;/_pages&gt;&lt;_type_work&gt;Journal Article; Research Support, Non-U.S. Gov&amp;apos;t&lt;/_type_work&gt;&lt;_url&gt;http://www.ncbi.nlm.nih.gov/entrez/query.fcgi?cmd=Retrieve&amp;amp;db=pubmed&amp;amp;dopt=Abstract&amp;amp;list_uids=21472467&amp;amp;query_hl=1&lt;/_url&gt;&lt;_volume&gt;11&lt;/_volume&gt;&lt;/Details&gt;&lt;Extra&gt;&lt;DBUID&gt;{EDEA4BC4-0457-43F1-8F42-A2410C0142AC}&lt;/DBUID&gt;&lt;/Extra&gt;&lt;/Item&gt;&lt;/References&gt;&lt;/Group&gt;&lt;/Citation&gt;_x000a_"/>
    <w:docVar w:name="NE.Ref{849C4D1D-71B5-4A7F-A9F2-F3EBFD16E799}" w:val=" ADDIN NE.Ref.{849C4D1D-71B5-4A7F-A9F2-F3EBFD16E799} ADDIN NE.Ref.{849C4D1D-71B5-4A7F-A9F2-F3EBFD16E799}&lt;Citation&gt;&lt;Group&gt;&lt;References&gt;&lt;Item&gt;&lt;ID&gt;174&lt;/ID&gt;&lt;UID&gt;{CDEE43C3-38F3-4E19-923D-042456A8AAFD}&lt;/UID&gt;&lt;Title&gt;The interaction domains of the plant Myc-like bHLH transcription factors can regulate the transactivation strength&lt;/Title&gt;&lt;Template&gt;Journal Article&lt;/Template&gt;&lt;Star&gt;0&lt;/Star&gt;&lt;Tag&gt;0&lt;/Tag&gt;&lt;Author&gt;Pattanaik, S; Xie, C H; Yuan, L&lt;/Author&gt;&lt;Year&gt;2008&lt;/Year&gt;&lt;Details&gt;&lt;_accessed&gt;60041536&lt;/_accessed&gt;&lt;_accession_num&gt;18075757&lt;/_accession_num&gt;&lt;_author_adr&gt;Department of Plant and Soil Sciences and the Kentucky Tobacco Research and Development Center, Lexington, Cooper and University Drives, KY 40546, USA.&lt;/_author_adr&gt;&lt;_created&gt;60041532&lt;/_created&gt;&lt;_date&gt;56846880&lt;/_date&gt;&lt;_date_display&gt;2008 Feb&lt;/_date_display&gt;&lt;_db_updated&gt;PubMed&lt;/_db_updated&gt;&lt;_doi&gt;10.1007/s00425-007-0676-y&lt;/_doi&gt;&lt;_issue&gt;3&lt;/_issue&gt;&lt;_journal&gt;Planta&lt;/_journal&gt;&lt;_keywords&gt;Alanine/genetics/metabolism; Amino Acid Substitution; Anthocyanins/*metabolism; Basic Helix-Loop-Helix Transcription Factors/*genetics/metabolism; Flowers/*metabolism; Gene Expression Regulation, Plant; Lysine/genetics/metabolism; Mutation; Perilla frutescens/genetics; Plant Proteins/*genetics/metabolism; Plants, Genetically Modified/metabolism; Protein Interaction Domains and Motifs/genetics/physiology; Tobacco/*genetics/metabolism; Transcription Factors/*genetics/metabolism; *Transcriptional Activation&lt;/_keywords&gt;&lt;_language&gt;eng&lt;/_language&gt;&lt;_modified&gt;60041536&lt;/_modified&gt;&lt;_pages&gt;707-15&lt;/_pages&gt;&lt;_type_work&gt;Journal Article; Research Support, Non-U.S. Gov&amp;apos;t&lt;/_type_work&gt;&lt;_url&gt;http://www.ncbi.nlm.nih.gov/entrez/query.fcgi?cmd=Retrieve&amp;amp;db=pubmed&amp;amp;dopt=Abstract&amp;amp;list_uids=18075757&amp;amp;query_hl=1&lt;/_url&gt;&lt;_volume&gt;227&lt;/_volume&gt;&lt;/Details&gt;&lt;Extra&gt;&lt;DBUID&gt;{EDEA4BC4-0457-43F1-8F42-A2410C0142AC}&lt;/DBUID&gt;&lt;/Extra&gt;&lt;/Item&gt;&lt;/References&gt;&lt;/Group&gt;&lt;/Citation&gt;_x000a_"/>
    <w:docVar w:name="NE.Ref{87CEF321-26D6-4985-B94B-3A46CE374B19}" w:val=" ADDIN NE.Ref.{87CEF321-26D6-4985-B94B-3A46CE374B19} ADDIN NE.Ref.{87CEF321-26D6-4985-B94B-3A46CE374B19}&lt;Citation&gt;&lt;Group&gt;&lt;References&gt;&lt;Item&gt;&lt;ID&gt;135&lt;/ID&gt;&lt;UID&gt;{F0E48D9E-C2B6-4DC7-BBA0-B208C9C72888}&lt;/UID&gt;&lt;Title&gt;植物次生生长相关MYB转录因子研究进展&lt;/Title&gt;&lt;Template&gt;Journal Article&lt;/Template&gt;&lt;Star&gt;0&lt;/Star&gt;&lt;Tag&gt;0&lt;/Tag&gt;&lt;Author&gt;薛英喜; 魏建华; 姜廷波; 王宏芝&lt;/Author&gt;&lt;Year&gt;2012&lt;/Year&gt;&lt;Details&gt;&lt;_accessed&gt;60027395&lt;/_accessed&gt;&lt;_author_adr&gt;东北林业大学林木遗传育种教育部重点实验室,黑龙江哈尔滨150040 北京农业生物技术研究中心,北京100097&lt;/_author_adr&gt;&lt;_created&gt;60027394&lt;/_created&gt;&lt;_db_provider&gt;重庆维普&lt;/_db_provider&gt;&lt;_db_updated&gt;CQ_VIP&lt;/_db_updated&gt;&lt;_isbn&gt;0517-6611&lt;/_isbn&gt;&lt;_issue&gt;13&lt;/_issue&gt;&lt;_journal&gt;安徽农业科学&lt;/_journal&gt;&lt;_keywords&gt;MYB转录因子; 次生生长转录调控网络; AC顺式作用元件; 转录后修饰; 进化保守性; MYB transcription factors; Transcriptional network of secondary growth; AC cis-elements; Post-transcriptional modification; Ev-olutionary conversation&lt;/_keywords&gt;&lt;_language&gt;Chinese&lt;/_language&gt;&lt;_modified&gt;60027395&lt;/_modified&gt;&lt;_pages&gt;7650-7655&lt;/_pages&gt;&lt;_translated_author&gt;XUE, Ying-xi Et Al&lt;/_translated_author&gt;&lt;_translated_title&gt;Research Advances in the Secondary Growth-associated MYB Transcription Factors in Plants&lt;/_translated_title&gt;&lt;_url&gt;http://2010.cqvip.com/qk/90168X/201213/42023767.html&lt;/_url&gt;&lt;_volume&gt;40&lt;/_volume&gt;&lt;/Details&gt;&lt;Extra&gt;&lt;DBUID&gt;{EDEA4BC4-0457-43F1-8F42-A2410C0142AC}&lt;/DBUID&gt;&lt;/Extra&gt;&lt;/Item&gt;&lt;/References&gt;&lt;/Group&gt;&lt;/Citation&gt;_x000a_"/>
    <w:docVar w:name="NE.Ref{8EF433B2-7DBB-4118-850A-9C44C4ADA1BA}" w:val=" ADDIN NE.Ref.{8EF433B2-7DBB-4118-850A-9C44C4ADA1BA} ADDIN NE.Ref.{8EF433B2-7DBB-4118-850A-9C44C4ADA1BA}&lt;Citation&gt;&lt;Group&gt;&lt;References&gt;&lt;Item&gt;&lt;ID&gt;157&lt;/ID&gt;&lt;UID&gt;{D8050E7C-DCE3-43E4-81DA-00F90ED434BD}&lt;/UID&gt;&lt;Title&gt;A MYB gene from wheat (Triticum aestivum L.) is up-regulated during salt and drought stresses and differentially regulated between salt-tolerant and sensitive genotypes&lt;/Title&gt;&lt;Template&gt;Journal Article&lt;/Template&gt;&lt;Star&gt;0&lt;/Star&gt;&lt;Tag&gt;0&lt;/Tag&gt;&lt;Author&gt;Rahaie, M; Xue, G P; Naghavi, M R; Alizadeh, H; Schenk, P M&lt;/Author&gt;&lt;Year&gt;2010&lt;/Year&gt;&lt;Details&gt;&lt;_accessed&gt;60041393&lt;/_accessed&gt;&lt;_accession_num&gt;20490502&lt;/_accession_num&gt;&lt;_author_adr&gt;School of Biological Sciences, The University of Queensland, St. Lucia, QLD, 4072, Australia.&lt;/_author_adr&gt;&lt;_created&gt;60041391&lt;/_created&gt;&lt;_date&gt;58160160&lt;/_date&gt;&lt;_date_display&gt;2010 Aug&lt;/_date_display&gt;&lt;_db_updated&gt;PubMed&lt;/_db_updated&gt;&lt;_doi&gt;10.1007/s00299-010-0868-y&lt;/_doi&gt;&lt;_issue&gt;8&lt;/_issue&gt;&lt;_journal&gt;Plant Cell Rep&lt;/_journal&gt;&lt;_keywords&gt;Adaptation, Physiological/genetics; Amino Acid Sequence; Droughts; Gene Expression Profiling; Gene Expression Regulation, Plant; *Genes, myb; Genotype; Molecular Sequence Data; Plant Proteins/genetics/*metabolism; RNA, Plant/genetics; Salt-Tolerant Plants/*genetics/metabolism; Sequence Alignment; Sodium Chloride/pharmacology; Stress, Physiological; Transcription Factors/genetics/*metabolism; Triticum/*genetics/metabolism; Up-Regulation&lt;/_keywords&gt;&lt;_language&gt;eng&lt;/_language&gt;&lt;_modified&gt;60041393&lt;/_modified&gt;&lt;_pages&gt;835-44&lt;/_pages&gt;&lt;_type_work&gt;Journal Article; Research Support, Non-U.S. Gov&amp;apos;t&lt;/_type_work&gt;&lt;_url&gt;http://www.ncbi.nlm.nih.gov/entrez/query.fcgi?cmd=Retrieve&amp;amp;db=pubmed&amp;amp;dopt=Abstract&amp;amp;list_uids=20490502&amp;amp;query_hl=1&lt;/_url&gt;&lt;_volume&gt;29&lt;/_volume&gt;&lt;/Details&gt;&lt;Extra&gt;&lt;DBUID&gt;{EDEA4BC4-0457-43F1-8F42-A2410C0142AC}&lt;/DBUID&gt;&lt;/Extra&gt;&lt;/Item&gt;&lt;/References&gt;&lt;/Group&gt;&lt;/Citation&gt;_x000a_"/>
    <w:docVar w:name="NE.Ref{9193C2AD-F0FD-4176-B880-0A1B2C35D40D}" w:val=" ADDIN NE.Ref.{9193C2AD-F0FD-4176-B880-0A1B2C35D40D} ADDIN NE.Ref.{9193C2AD-F0FD-4176-B880-0A1B2C35D40D}&lt;Citation&gt;&lt;Group&gt;&lt;References&gt;&lt;Item&gt;&lt;ID&gt;149&lt;/ID&gt;&lt;UID&gt;{1FC568BF-BADC-47B7-BBE2-BA82E0014CED}&lt;/UID&gt;&lt;Title&gt;Overexpression of AtMYB44 enhances stomatal closure to confer abiotic stress tolerance in transgenic Arabidopsis&lt;/Title&gt;&lt;Template&gt;Journal Article&lt;/Template&gt;&lt;Star&gt;0&lt;/Star&gt;&lt;Tag&gt;0&lt;/Tag&gt;&lt;Author&gt;Jung, C; Seo, J S; Han, S W; Koo, Y J; Kim, C H; Song, S I; Nahm, B H; Choi, Y D; Cheong, J J&lt;/Author&gt;&lt;Year&gt;2008&lt;/Year&gt;&lt;Details&gt;&lt;_accessed&gt;60041375&lt;/_accessed&gt;&lt;_accession_num&gt;18162593&lt;/_accession_num&gt;&lt;_author_adr&gt;Department of Agricultural Biotechnology, Seoul National University, Seoul 151-921, Korea.&lt;/_author_adr&gt;&lt;_created&gt;60041374&lt;/_created&gt;&lt;_date&gt;56846880&lt;/_date&gt;&lt;_date_display&gt;2008 Feb&lt;/_date_display&gt;&lt;_db_updated&gt;PubMed&lt;/_db_updated&gt;&lt;_doi&gt;10.1104/pp.107.110981&lt;/_doi&gt;&lt;_issue&gt;2&lt;/_issue&gt;&lt;_journal&gt;Plant Physiol&lt;/_journal&gt;&lt;_keywords&gt;Arabidopsis/drug effects/genetics/*metabolism; Arabidopsis Proteins/genetics/*metabolism; Gene Expression Profiling; Gene Expression Regulation, Plant/*physiology; Plant Stomata/*metabolism; Plants, Genetically Modified; Sodium Chloride/pharmacology; Transcription Factors/genetics/*metabolism&lt;/_keywords&gt;&lt;_language&gt;eng&lt;/_language&gt;&lt;_modified&gt;60041375&lt;/_modified&gt;&lt;_pages&gt;623-35&lt;/_pages&gt;&lt;_type_work&gt;Journal Article; Research Support, Non-U.S. Gov&amp;apos;t&lt;/_type_work&gt;&lt;_url&gt;http://www.ncbi.nlm.nih.gov/entrez/query.fcgi?cmd=Retrieve&amp;amp;db=pubmed&amp;amp;dopt=Abstract&amp;amp;list_uids=18162593&amp;amp;query_hl=1&lt;/_url&gt;&lt;_volume&gt;146&lt;/_volume&gt;&lt;/Details&gt;&lt;Extra&gt;&lt;DBUID&gt;{EDEA4BC4-0457-43F1-8F42-A2410C0142AC}&lt;/DBUID&gt;&lt;/Extra&gt;&lt;/Item&gt;&lt;/References&gt;&lt;/Group&gt;&lt;/Citation&gt;_x000a_"/>
    <w:docVar w:name="NE.Ref{9D2A6DC5-E0A1-4B57-A1C7-8BA1AAC64BFF}" w:val=" ADDIN NE.Ref.{9D2A6DC5-E0A1-4B57-A1C7-8BA1AAC64BFF} ADDIN NE.Ref.{9D2A6DC5-E0A1-4B57-A1C7-8BA1AAC64BFF}&lt;Citation&gt;&lt;Group&gt;&lt;References&gt;&lt;Item&gt;&lt;ID&gt;153&lt;/ID&gt;&lt;UID&gt;{BC4F00B0-ACCE-4364-B494-F5669E472313}&lt;/UID&gt;&lt;Title&gt;Overexpression of AtMYB52 confers ABA hypersensitivity and drought tolerance&lt;/Title&gt;&lt;Template&gt;Journal Article&lt;/Template&gt;&lt;Star&gt;0&lt;/Star&gt;&lt;Tag&gt;0&lt;/Tag&gt;&lt;Author&gt;Park, M Y; Kang, J Y; Kim, S Y&lt;/Author&gt;&lt;Year&gt;2011&lt;/Year&gt;&lt;Details&gt;&lt;_accessed&gt;60041381&lt;/_accessed&gt;&lt;_accession_num&gt;21399993&lt;/_accession_num&gt;&lt;_author_adr&gt;Department of Molecular Biotechnology and Kumho Life Science Laboratory, College  of Agriculture and Life Sciences, Chonnam National University, Gwangju 500-757, Korea.&lt;/_author_adr&gt;&lt;_created&gt;60041381&lt;/_created&gt;&lt;_date&gt;58553280&lt;/_date&gt;&lt;_date_display&gt;2011 May&lt;/_date_display&gt;&lt;_db_updated&gt;PubMed&lt;/_db_updated&gt;&lt;_doi&gt;10.1007/s10059-011-0300-7&lt;/_doi&gt;&lt;_issue&gt;5&lt;/_issue&gt;&lt;_journal&gt;Mol Cells&lt;/_journal&gt;&lt;_keywords&gt;Abscisic Acid/genetics/metabolism/*physiology; Arabidopsis/genetics/metabolism/*physiology; Arabidopsis Proteins/*biosynthesis/genetics; *Droughts; Gene Expression Regulation, Plant; Phenotype&lt;/_keywords&gt;&lt;_language&gt;eng&lt;/_language&gt;&lt;_modified&gt;60041381&lt;/_modified&gt;&lt;_pages&gt;447-54&lt;/_pages&gt;&lt;_type_work&gt;Journal Article; Research Support, Non-U.S. Gov&amp;apos;t&lt;/_type_work&gt;&lt;_url&gt;http://www.ncbi.nlm.nih.gov/entrez/query.fcgi?cmd=Retrieve&amp;amp;db=pubmed&amp;amp;dopt=Abstract&amp;amp;list_uids=21399993&amp;amp;query_hl=1&lt;/_url&gt;&lt;_volume&gt;31&lt;/_volume&gt;&lt;/Details&gt;&lt;Extra&gt;&lt;DBUID&gt;{EDEA4BC4-0457-43F1-8F42-A2410C0142AC}&lt;/DBUID&gt;&lt;/Extra&gt;&lt;/Item&gt;&lt;/References&gt;&lt;/Group&gt;&lt;/Citation&gt;_x000a_"/>
    <w:docVar w:name="NE.Ref{9E469E3E-853D-4F19-AB2D-C9E37ED02125}" w:val=" ADDIN NE.Ref.{9E469E3E-853D-4F19-AB2D-C9E37ED02125} ADDIN NE.Ref.{9E469E3E-853D-4F19-AB2D-C9E37ED02125}&lt;Citation&gt;&lt;Group&gt;&lt;References&gt;&lt;Item&gt;&lt;ID&gt;176&lt;/ID&gt;&lt;UID&gt;{6C2C189F-FB66-4167-A799-8CD026857BD7}&lt;/UID&gt;&lt;Title&gt;Evolutionary and comparative analysis of MYB and bHLH plant transcription factors&lt;/Title&gt;&lt;Template&gt;Journal Article&lt;/Template&gt;&lt;Star&gt;0&lt;/Star&gt;&lt;Tag&gt;0&lt;/Tag&gt;&lt;Author&gt;Feller, A; Machemer, K; Braun, E L; Grotewold, E&lt;/Author&gt;&lt;Year&gt;2011&lt;/Year&gt;&lt;Details&gt;&lt;_accessed&gt;60041535&lt;/_accessed&gt;&lt;_accession_num&gt;21443626&lt;/_accession_num&gt;&lt;_author_adr&gt;Plant Biotechnology Center and Department of Molecular Genetics, Ohio State University, Columbus, OH 43210, USA.&lt;/_author_adr&gt;&lt;_created&gt;60041534&lt;/_created&gt;&lt;_date&gt;58510080&lt;/_date&gt;&lt;_date_display&gt;2011 Apr&lt;/_date_display&gt;&lt;_db_updated&gt;PubMed&lt;/_db_updated&gt;&lt;_doi&gt;10.1111/j.1365-313X.2010.04459.x&lt;/_doi&gt;&lt;_issue&gt;1&lt;/_issue&gt;&lt;_journal&gt;Plant J&lt;/_journal&gt;&lt;_keywords&gt;Amino Acid Sequence; Arabidopsis/genetics; Basic Helix-Loop-Helix Transcription Factors/*genetics; *Evolution, Molecular; Gene Duplication; Gene Expression Regulation, Plant; Gene Regulatory Networks; *Genes, myb; Molecular Sequence Data; Multigene Family; Plants/*genetics; Proto-Oncogene Proteins c-myb/genetics&lt;/_keywords&gt;&lt;_language&gt;eng&lt;/_language&gt;&lt;_modified&gt;60041535&lt;/_modified&gt;&lt;_ori_publication&gt;(c) 2011 The Authors. The Plant Journal (c) 2011 Blackwell Publishing Ltd.&lt;/_ori_publication&gt;&lt;_pages&gt;94-116&lt;/_pages&gt;&lt;_type_work&gt;Comparative Study; Journal Article; Research Support, U.S. Gov&amp;apos;t, Non-P.H.S.; Review&lt;/_type_work&gt;&lt;_url&gt;http://www.ncbi.nlm.nih.gov/entrez/query.fcgi?cmd=Retrieve&amp;amp;db=pubmed&amp;amp;dopt=Abstract&amp;amp;list_uids=21443626&amp;amp;query_hl=1&lt;/_url&gt;&lt;_volume&gt;66&lt;/_volume&gt;&lt;/Details&gt;&lt;Extra&gt;&lt;DBUID&gt;{EDEA4BC4-0457-43F1-8F42-A2410C0142AC}&lt;/DBUID&gt;&lt;/Extra&gt;&lt;/Item&gt;&lt;/References&gt;&lt;/Group&gt;&lt;/Citation&gt;_x000a_"/>
    <w:docVar w:name="NE.Ref{A5A2886B-E3D0-4D79-923E-FA3291EAE256}" w:val=" ADDIN NE.Ref.{A5A2886B-E3D0-4D79-923E-FA3291EAE256} ADDIN NE.Ref.{A5A2886B-E3D0-4D79-923E-FA3291EAE256}&lt;Citation&gt;&lt;Group&gt;&lt;References&gt;&lt;Item&gt;&lt;ID&gt;165&lt;/ID&gt;&lt;UID&gt;{CB3E1030-713A-40DC-B628-C8D49D4EECF5}&lt;/UID&gt;&lt;Title&gt;Isolation of a subfamily of genes for R2R3-MYB transcription factors showing up-regulated expression under nitrogen nutrient-limited conditions&lt;/Title&gt;&lt;Template&gt;Journal Article&lt;/Template&gt;&lt;Star&gt;0&lt;/Star&gt;&lt;Tag&gt;0&lt;/Tag&gt;&lt;Author&gt;Miyake, K; Ito, T; Senda, M; Ishikawa, R; Harada, T; Niizeki, M; Akada, S&lt;/Author&gt;&lt;Year&gt;2003&lt;/Year&gt;&lt;Details&gt;&lt;_accessed&gt;60041409&lt;/_accessed&gt;&lt;_accession_num&gt;14756320&lt;/_accession_num&gt;&lt;_author_adr&gt;Plant Breeding Laboratory, Faculty of Agriculture, Hirosaki University, Hirosaki, Aomori 036-8561, Japan.&lt;/_author_adr&gt;&lt;_created&gt;60041408&lt;/_created&gt;&lt;_date&gt;54522720&lt;/_date&gt;&lt;_date_display&gt;2003 Sep&lt;/_date_display&gt;&lt;_db_updated&gt;PubMed&lt;/_db_updated&gt;&lt;_doi&gt;10.1023/B:PLAN.0000009296.91149.34&lt;/_doi&gt;&lt;_issue&gt;1-2&lt;/_issue&gt;&lt;_journal&gt;Plant Mol Biol&lt;/_journal&gt;&lt;_keywords&gt;Amino Acid Sequence; Base Sequence; Blotting, Southern; Cloning, Molecular; DNA, Complementary/chemistry/genetics/isolation &amp;amp; purification; DNA, Plant/chemistry/genetics/isolation &amp;amp; purification; Gene Dosage; Gene Expression Regulation, Plant/drug effects; Lotus/drug effects/*genetics/growth &amp;amp; development; Molecular Sequence Data; Multigene Family/*genetics; Nitrates/pharmacology; Nitrogen/*pharmacology; Phylogeny; Plant Proteins/*genetics; Promoter Regions, Genetic/genetics; Proto-Oncogene Proteins c-myb/*genetics; Sequence Alignment; Sequence Analysis, DNA; Sequence Homology, Amino Acid; Sequence Homology, Nucleic Acid; Soybean Proteins/genetics; Soybeans/drug effects/*genetics/growth &amp;amp; development; Transcription Factors/*genetics; Up-Regulation&lt;/_keywords&gt;&lt;_language&gt;eng&lt;/_language&gt;&lt;_modified&gt;60041409&lt;/_modified&gt;&lt;_pages&gt;237-45&lt;/_pages&gt;&lt;_type_work&gt;Journal Article&lt;/_type_work&gt;&lt;_url&gt;http://www.ncbi.nlm.nih.gov/entrez/query.fcgi?cmd=Retrieve&amp;amp;db=pubmed&amp;amp;dopt=Abstract&amp;amp;list_uids=14756320&amp;amp;query_hl=1&lt;/_url&gt;&lt;_volume&gt;53&lt;/_volume&gt;&lt;/Details&gt;&lt;Extra&gt;&lt;DBUID&gt;{EDEA4BC4-0457-43F1-8F42-A2410C0142AC}&lt;/DBUID&gt;&lt;/Extra&gt;&lt;/Item&gt;&lt;/References&gt;&lt;/Group&gt;&lt;/Citation&gt;_x000a_"/>
    <w:docVar w:name="NE.Ref{AC6793D3-B09D-48A0-A38C-E977961471D8}" w:val=" ADDIN NE.Ref.{AC6793D3-B09D-48A0-A38C-E977961471D8} ADDIN NE.Ref.{AC6793D3-B09D-48A0-A38C-E977961471D8}&lt;Citation&gt;&lt;Group&gt;&lt;References&gt;&lt;Item&gt;&lt;ID&gt;144&lt;/ID&gt;&lt;UID&gt;{6B87941B-4580-45A9-9142-D4DA22CE17FF}&lt;/UID&gt;&lt;Title&gt;Differential expression of anthocyanin biosynthetic genes and transcription factor PcMYB10 in pears (Pyrus communis L.)&lt;/Title&gt;&lt;Template&gt;Journal Article&lt;/Template&gt;&lt;Star&gt;0&lt;/Star&gt;&lt;Tag&gt;0&lt;/Tag&gt;&lt;Author&gt;Li, L; Ban, Z J; Li, X H; Wu, M Y; Wang, A L; Jiang, Y Q; Jiang, Y H&lt;/Author&gt;&lt;Year&gt;2012&lt;/Year&gt;&lt;Details&gt;&lt;_accessed&gt;60041363&lt;/_accessed&gt;&lt;_accession_num&gt;23029391&lt;/_accession_num&gt;&lt;_author_adr&gt;Key Laboratory of Food Nutrition and Safety, Ministry of Education, Tianjin University of Science and Technology, People&amp;apos;s Republic of China.&lt;/_author_adr&gt;&lt;_created&gt;60041363&lt;/_created&gt;&lt;_date&gt;58933440&lt;/_date&gt;&lt;_date_display&gt;2012&lt;/_date_display&gt;&lt;_db_updated&gt;PubMed&lt;/_db_updated&gt;&lt;_doi&gt;10.1371/journal.pone.0046070&lt;/_doi&gt;&lt;_issue&gt;9&lt;/_issue&gt;&lt;_journal&gt;PLoS One&lt;/_journal&gt;&lt;_keywords&gt;Anthocyanins/*genetics; Cluster Analysis; Cold Temperature; *Gene Expression Regulation, Plant; Genes, Plant; Plant Proteins/*genetics; Pyrus/*genetics/growth &amp;amp; development; Transcription Factors/*genetics&lt;/_keywords&gt;&lt;_language&gt;eng&lt;/_language&gt;&lt;_modified&gt;60041363&lt;/_modified&gt;&lt;_pages&gt;e46070&lt;/_pages&gt;&lt;_type_work&gt;Journal Article; Research Support, Non-U.S. Gov&amp;apos;t&lt;/_type_work&gt;&lt;_url&gt;http://www.ncbi.nlm.nih.gov/entrez/query.fcgi?cmd=Retrieve&amp;amp;db=pubmed&amp;amp;dopt=Abstract&amp;amp;list_uids=23029391&amp;amp;query_hl=1&lt;/_url&gt;&lt;_volume&gt;7&lt;/_volume&gt;&lt;/Details&gt;&lt;Extra&gt;&lt;DBUID&gt;{EDEA4BC4-0457-43F1-8F42-A2410C0142AC}&lt;/DBUID&gt;&lt;/Extra&gt;&lt;/Item&gt;&lt;/References&gt;&lt;/Group&gt;&lt;/Citation&gt;_x000a_"/>
    <w:docVar w:name="NE.Ref{AD13B640-95E2-45EA-BC7C-C96813090FA5}" w:val=" ADDIN NE.Ref.{AD13B640-95E2-45EA-BC7C-C96813090FA5} ADDIN NE.Ref.{AD13B640-95E2-45EA-BC7C-C96813090FA5}&lt;Citation&gt;&lt;Group&gt;&lt;References&gt;&lt;Item&gt;&lt;ID&gt;163&lt;/ID&gt;&lt;UID&gt;{D11791C6-DDB6-48E2-AB4C-EE85A8986570}&lt;/UID&gt;&lt;Title&gt;Forced expression of Mdmyb10, a myb transcription factor gene from apple, enhances tolerance to osmotic stress in transgenic Arabidopsis&lt;/Title&gt;&lt;Template&gt;Journal Article&lt;/Template&gt;&lt;Star&gt;0&lt;/Star&gt;&lt;Tag&gt;0&lt;/Tag&gt;&lt;Author&gt;Gao, J J; Zhang, Z; Peng, R H; Xiong, A S; Xu, J; Zhu, B; Yao, Q H&lt;/Author&gt;&lt;Year&gt;2011&lt;/Year&gt;&lt;Details&gt;&lt;_accessed&gt;60041406&lt;/_accessed&gt;&lt;_accession_num&gt;20339923&lt;/_accession_num&gt;&lt;_author_adr&gt;College of Horticulture, Nanjing Agricultural University, Nanjing, 210095, China.&lt;/_author_adr&gt;&lt;_created&gt;60041406&lt;/_created&gt;&lt;_date&gt;58380480&lt;/_date&gt;&lt;_date_display&gt;2011 Jan&lt;/_date_display&gt;&lt;_db_updated&gt;PubMed&lt;/_db_updated&gt;&lt;_doi&gt;10.1007/s11033-010-0096-0&lt;/_doi&gt;&lt;_issue&gt;1&lt;/_issue&gt;&lt;_journal&gt;Mol Biol Rep&lt;/_journal&gt;&lt;_keywords&gt;Adaptation, Physiological/*genetics; Arabidopsis/enzymology/*genetics; Chlorophyll/metabolism; Enzyme Assays; Flavonoids/biosynthesis; *Gene Expression; Gene Expression Regulation, Plant; Genes, Plant/*genetics; Genetic Vectors/genetics; Malondialdehyde/metabolism; Malus/*genetics; Osmotic Pressure; Plants, Genetically Modified; Proline/metabolism; Seedling/growth &amp;amp; development; Signal Transduction; Stress, Physiological/*genetics; Transcription Factors/*genetics/metabolism&lt;/_keywords&gt;&lt;_language&gt;eng&lt;/_language&gt;&lt;_modified&gt;60041406&lt;/_modified&gt;&lt;_pages&gt;205-11&lt;/_pages&gt;&lt;_type_work&gt;Journal Article; Research Support, Non-U.S. Gov&amp;apos;t&lt;/_type_work&gt;&lt;_url&gt;http://www.ncbi.nlm.nih.gov/entrez/query.fcgi?cmd=Retrieve&amp;amp;db=pubmed&amp;amp;dopt=Abstract&amp;amp;list_uids=20339923&amp;amp;query_hl=1&lt;/_url&gt;&lt;_volume&gt;38&lt;/_volume&gt;&lt;/Details&gt;&lt;Extra&gt;&lt;DBUID&gt;{EDEA4BC4-0457-43F1-8F42-A2410C0142AC}&lt;/DBUID&gt;&lt;/Extra&gt;&lt;/Item&gt;&lt;/References&gt;&lt;/Group&gt;&lt;/Citation&gt;_x000a_"/>
    <w:docVar w:name="NE.Ref{B65A8F1E-EAB9-416B-99B9-7FC8412FB166}" w:val=" ADDIN NE.Ref.{B65A8F1E-EAB9-416B-99B9-7FC8412FB166} ADDIN NE.Ref.{B65A8F1E-EAB9-416B-99B9-7FC8412FB166}&lt;Citation&gt;&lt;Group&gt;&lt;References&gt;&lt;Item&gt;&lt;ID&gt;167&lt;/ID&gt;&lt;UID&gt;{36046027-729E-4951-8631-AD629074CC56}&lt;/UID&gt;&lt;Title&gt;The interaction between MYB proteins and their target DNA binding sites&lt;/Title&gt;&lt;Template&gt;Journal Article&lt;/Template&gt;&lt;Star&gt;0&lt;/Star&gt;&lt;Tag&gt;0&lt;/Tag&gt;&lt;Author&gt;Prouse, Michael B; Campbell, Malcolm M&lt;/Author&gt;&lt;Year&gt;2012&lt;/Year&gt;&lt;Details&gt;&lt;_accessed&gt;60041441&lt;/_accessed&gt;&lt;_created&gt;60041432&lt;/_created&gt;&lt;_db_updated&gt;GoogleScholar&lt;/_db_updated&gt;&lt;_issue&gt;1&lt;/_issue&gt;&lt;_journal&gt;Biochimica et Biophysica Acta (BBA)-Gene Regulatory Mechanisms&lt;/_journal&gt;&lt;_modified&gt;60041441&lt;/_modified&gt;&lt;_pages&gt;67--77&lt;/_pages&gt;&lt;_volume&gt;1819&lt;/_volume&gt;&lt;/Details&gt;&lt;Extra&gt;&lt;DBUID&gt;{EDEA4BC4-0457-43F1-8F42-A2410C0142AC}&lt;/DBUID&gt;&lt;/Extra&gt;&lt;/Item&gt;&lt;/References&gt;&lt;/Group&gt;&lt;/Citation&gt;_x000a_"/>
    <w:docVar w:name="NE.Ref{BE833C4A-E26F-4D78-8F02-49972F7B013C}" w:val=" ADDIN NE.Ref.{BE833C4A-E26F-4D78-8F02-49972F7B013C} ADDIN NE.Ref.{BE833C4A-E26F-4D78-8F02-49972F7B013C}&lt;Citation&gt;&lt;Group&gt;&lt;References&gt;&lt;Item&gt;&lt;ID&gt;145&lt;/ID&gt;&lt;UID&gt;{FBD64D57-6356-4966-831F-57A1B9D768F2}&lt;/UID&gt;&lt;Title&gt;The rice R2R3-MYB transcription factor OsMYB55 is involved in the tolerance to high temperature and modulates amino acid metabolism&lt;/Title&gt;&lt;Template&gt;Journal Article&lt;/Template&gt;&lt;Star&gt;0&lt;/Star&gt;&lt;Tag&gt;0&lt;/Tag&gt;&lt;Author&gt;El-Kereamy, A; Bi, Y M; Ranathunge, K; Beatty, P H; Good, A G; Rothstein, S J&lt;/Author&gt;&lt;Year&gt;2012&lt;/Year&gt;&lt;Details&gt;&lt;_accessed&gt;60041368&lt;/_accessed&gt;&lt;_accession_num&gt;23251677&lt;/_accession_num&gt;&lt;_author_adr&gt;Department of Molecular and Cellular Biology, University of Guelph, Guelph, Ontario, Canada.&lt;/_author_adr&gt;&lt;_created&gt;60041365&lt;/_created&gt;&lt;_date&gt;58933440&lt;/_date&gt;&lt;_date_display&gt;2012&lt;/_date_display&gt;&lt;_db_updated&gt;PubMed&lt;/_db_updated&gt;&lt;_doi&gt;10.1371/journal.pone.0052030&lt;/_doi&gt;&lt;_issue&gt;12&lt;/_issue&gt;&lt;_journal&gt;PLoS One&lt;/_journal&gt;&lt;_keywords&gt;Amino Acids/genetics/*metabolism; Arginine/genetics/metabolism; Gene Expression Profiling/methods; Gene Expression Regulation, Plant; Glutamic Acid/genetics/metabolism; Heat-Shock Response/genetics/*physiology; Oryza sativa/*genetics/*metabolism; Phylogeny; Plant Proteins/*genetics/metabolism; Promoter Regions, Genetic; Stress, Physiological/genetics/physiology; Temperature; Transcription Factors/*genetics/metabolism; Transcriptional Activation/genetics; Transcriptome; gamma-Aminobutyric Acid/genetics/metabolism&lt;/_keywords&gt;&lt;_language&gt;eng&lt;/_language&gt;&lt;_modified&gt;60041368&lt;/_modified&gt;&lt;_pages&gt;e52030&lt;/_pages&gt;&lt;_type_work&gt;Journal Article; Research Support, Non-U.S. Gov&amp;apos;t&lt;/_type_work&gt;&lt;_url&gt;http://www.ncbi.nlm.nih.gov/entrez/query.fcgi?cmd=Retrieve&amp;amp;db=pubmed&amp;amp;dopt=Abstract&amp;amp;list_uids=23251677&amp;amp;query_hl=1&lt;/_url&gt;&lt;_volume&gt;7&lt;/_volume&gt;&lt;/Details&gt;&lt;Extra&gt;&lt;DBUID&gt;{EDEA4BC4-0457-43F1-8F42-A2410C0142AC}&lt;/DBUID&gt;&lt;/Extra&gt;&lt;/Item&gt;&lt;/References&gt;&lt;/Group&gt;&lt;/Citation&gt;_x000a_"/>
    <w:docVar w:name="NE.Ref{C854A32F-58A4-4689-A68B-CEA8C5B1603C}" w:val=" ADDIN NE.Ref.{C854A32F-58A4-4689-A68B-CEA8C5B1603C} ADDIN NE.Ref.{C854A32F-58A4-4689-A68B-CEA8C5B1603C}&lt;Citation&gt;&lt;Group&gt;&lt;References&gt;&lt;Item&gt;&lt;ID&gt;181&lt;/ID&gt;&lt;UID&gt;{153185D9-CB99-48F1-AF0D-45777869E7CB}&lt;/UID&gt;&lt;Title&gt;Inhibition of AtMYB2 DNA-binding by nitric oxide involves cysteine S-nitrosylation&lt;/Title&gt;&lt;Template&gt;Journal Article&lt;/Template&gt;&lt;Star&gt;0&lt;/Star&gt;&lt;Tag&gt;0&lt;/Tag&gt;&lt;Author&gt;Serpa, V; Vernal, J; Lamattina, L; Grotewold, E; Cassia, R; Terenzi, H&lt;/Author&gt;&lt;Year&gt;2007&lt;/Year&gt;&lt;Details&gt;&lt;_accessed&gt;60041541&lt;/_accessed&gt;&lt;_accession_num&gt;17686455&lt;/_accession_num&gt;&lt;_author_adr&gt;Laboratorio de Expressao Genica, Departamento de Bioquimica, Universidade Federal de Santa Catarina, 88040-900 Florianopolis, SC, Brazil.&lt;/_author_adr&gt;&lt;_created&gt;60041539&lt;/_created&gt;&lt;_date&gt;56675520&lt;/_date&gt;&lt;_date_display&gt;2007 Oct 5&lt;/_date_display&gt;&lt;_db_updated&gt;PubMed&lt;/_db_updated&gt;&lt;_doi&gt;10.1016/j.bbrc.2007.07.133&lt;/_doi&gt;&lt;_issue&gt;4&lt;/_issue&gt;&lt;_journal&gt;Biochem Biophys Res Commun&lt;/_journal&gt;&lt;_keywords&gt;Arabidopsis Proteins/*chemistry/metabolism; Cysteine/*chemistry; DNA/metabolism; DNA-Binding Proteins/chemistry; Nitric Oxide/*chemistry; Nitric Oxide Donors/pharmacology; Nitroprusside/pharmacology; Oxidation-Reduction; Protein Processing, Post-Translational; S-Nitrosoglutathione/pharmacology; Trans-Activators/*chemistry/metabolism&lt;/_keywords&gt;&lt;_language&gt;eng&lt;/_language&gt;&lt;_modified&gt;60041541&lt;/_modified&gt;&lt;_pages&gt;1048-53&lt;/_pages&gt;&lt;_type_work&gt;Journal Article; Research Support, Non-U.S. Gov&amp;apos;t&lt;/_type_work&gt;&lt;_url&gt;http://www.ncbi.nlm.nih.gov/entrez/query.fcgi?cmd=Retrieve&amp;amp;db=pubmed&amp;amp;dopt=Abstract&amp;amp;list_uids=17686455&amp;amp;query_hl=1&lt;/_url&gt;&lt;_volume&gt;361&lt;/_volume&gt;&lt;/Details&gt;&lt;Extra&gt;&lt;DBUID&gt;{EDEA4BC4-0457-43F1-8F42-A2410C0142AC}&lt;/DBUID&gt;&lt;/Extra&gt;&lt;/Item&gt;&lt;/References&gt;&lt;/Group&gt;&lt;/Citation&gt;_x000a_"/>
    <w:docVar w:name="NE.Ref{CCB1B43F-89C3-40C1-A2ED-D72C9804DDE3}" w:val=" ADDIN NE.Ref.{CCB1B43F-89C3-40C1-A2ED-D72C9804DDE3} ADDIN NE.Ref.{CCB1B43F-89C3-40C1-A2ED-D72C9804DDE3}&lt;Citation&gt;&lt;Group&gt;&lt;References&gt;&lt;Item&gt;&lt;ID&gt;161&lt;/ID&gt;&lt;UID&gt;{0EC2257E-2415-41C0-8104-868558775D27}&lt;/UID&gt;&lt;Title&gt;Ectopic expression of a wheat MYB transcription factor gene, TaMYB73, improves salinity stress tolerance in Arabidopsis thaliana&lt;/Title&gt;&lt;Template&gt;Journal Article&lt;/Template&gt;&lt;Star&gt;0&lt;/Star&gt;&lt;Tag&gt;0&lt;/Tag&gt;&lt;Author&gt;He, Y; Li, W; Lv, J; Jia, Y; Wang, M; Xia, G&lt;/Author&gt;&lt;Year&gt;2012&lt;/Year&gt;&lt;Details&gt;&lt;_accessed&gt;60041400&lt;/_accessed&gt;&lt;_accession_num&gt;22140235&lt;/_accession_num&gt;&lt;_author_adr&gt;The Key Laboratory of Plant Cell Engineering and Germplasm Innovation, Ministry of Education, School of Life Science, Shandong University, 27 Shandanan Road, Jinan, Shandong 250100, China.&lt;/_author_adr&gt;&lt;_created&gt;60041400&lt;/_created&gt;&lt;_date&gt;58950720&lt;/_date&gt;&lt;_date_display&gt;2012 Feb&lt;/_date_display&gt;&lt;_db_updated&gt;PubMed&lt;/_db_updated&gt;&lt;_doi&gt;10.1093/jxb/err389&lt;/_doi&gt;&lt;_issue&gt;3&lt;/_issue&gt;&lt;_journal&gt;J Exp Bot&lt;/_journal&gt;&lt;_keywords&gt;Arabidopsis/*drug effects/genetics/*metabolism; Gene Expression Regulation, Plant; Lithium Chloride/pharmacology; Molecular Sequence Data; Plant Proteins/genetics/*metabolism; Plants, Genetically Modified/*drug effects/genetics/*metabolism; Potassium Chloride/pharmacology; Salt-Tolerance/genetics/*physiology; Sodium Chloride/pharmacology; Transcription Factors/genetics/*metabolism; Triticum&lt;/_keywords&gt;&lt;_language&gt;eng&lt;/_language&gt;&lt;_modified&gt;60041400&lt;/_modified&gt;&lt;_pages&gt;1511-22&lt;/_pages&gt;&lt;_type_work&gt;Journal Article; Research Support, Non-U.S. Gov&amp;apos;t&lt;/_type_work&gt;&lt;_url&gt;http://www.ncbi.nlm.nih.gov/entrez/query.fcgi?cmd=Retrieve&amp;amp;db=pubmed&amp;amp;dopt=Abstract&amp;amp;list_uids=22140235&amp;amp;query_hl=1&lt;/_url&gt;&lt;_volume&gt;63&lt;/_volume&gt;&lt;/Details&gt;&lt;Extra&gt;&lt;DBUID&gt;{EDEA4BC4-0457-43F1-8F42-A2410C0142AC}&lt;/DBUID&gt;&lt;/Extra&gt;&lt;/Item&gt;&lt;/References&gt;&lt;/Group&gt;&lt;/Citation&gt;_x000a_"/>
    <w:docVar w:name="NE.Ref{CEC0759D-7ADA-408F-940F-017FB09D1D77}" w:val=" ADDIN NE.Ref.{CEC0759D-7ADA-408F-940F-017FB09D1D77} ADDIN NE.Ref.{CEC0759D-7ADA-408F-940F-017FB09D1D77}&lt;Citation&gt;&lt;Group&gt;&lt;References&gt;&lt;Item&gt;&lt;ID&gt;131&lt;/ID&gt;&lt;UID&gt;{B30403F2-E8DA-481A-A98D-89E279FDEBC9}&lt;/UID&gt;&lt;Title&gt;A R2R3 type MYB transcription factor is involved in the cold regulation of CBF genes and in acquired freezing tolerance&lt;/Title&gt;&lt;Template&gt;Journal Article&lt;/Template&gt;&lt;Star&gt;0&lt;/Star&gt;&lt;Tag&gt;0&lt;/Tag&gt;&lt;Author&gt;Agarwal, M; Hao, Y J; Kapoor, A; Dong, C H; Fujii, H; Zheng, X W; Zhu, J K&lt;/Author&gt;&lt;Year&gt;2006&lt;/Year&gt;&lt;Details&gt;&lt;_accessed&gt;60027374&lt;/_accessed&gt;&lt;_author_adr&gt;Univ Calif Riverside, Dept Bot &amp;amp; Plant Sci, Riverside, CA 92521 USA. Univ Calif Riverside, Inst Integrat Genome Biol, Riverside, CA 92521 USA._x000d__x000a_Zhu, JK (reprint author), Univ Calif Riverside, Dept Bot &amp;amp; Plant Sci, 2150 Batchelor Hall, Riverside, CA 92521 USA._x000d__x000a_E-Mail: jian-kang.zhu@ucr.edu&lt;/_author_adr&gt;&lt;_created&gt;60027372&lt;/_created&gt;&lt;_custom1&gt;J BIOL CHEM_x000d__x000a_J. Biol. Chem.&lt;/_custom1&gt;&lt;_date_display&gt;2006_x000d__x000a_DEC 8&lt;/_date_display&gt;&lt;_db_updated&gt;web_of_knowledge_511&lt;/_db_updated&gt;&lt;_isbn&gt;0021-9258&lt;/_isbn&gt;&lt;_issue&gt;49&lt;/_issue&gt;&lt;_journal&gt;JOURNAL OF BIOLOGICAL CHEMISTRY&lt;/_journal&gt;&lt;_keywords&gt;CIS-ACTING ELEMENT; LOW-TEMPERATURE; ARABIDOPSIS-THALIANA; SALT-STRESS; SIGNAL-TRANSDUCTION; DROSOPHILA EMBRYO; RESPONSE PATHWAY; MEDIATES COLD; ACCLIMATION; EXPRESSION&lt;/_keywords&gt;&lt;_language&gt;English&lt;/_language&gt;&lt;_modified&gt;60027374&lt;/_modified&gt;&lt;_number&gt;WOS:000242477100040&lt;/_number&gt;&lt;_ori_publication&gt;AMER SOC BIOCHEMISTRY MOLECULAR BIOLOGY INC&lt;/_ori_publication&gt;&lt;_pages&gt;37636-37645&lt;/_pages&gt;&lt;_place_published&gt;BETHESDA&lt;/_place_published&gt;&lt;_type_work&gt;Article&lt;/_type_work&gt;&lt;_volume&gt;281&lt;/_volume&gt;&lt;/Details&gt;&lt;Extra&gt;&lt;DBUID&gt;{EDEA4BC4-0457-43F1-8F42-A2410C0142AC}&lt;/DBUID&gt;&lt;/Extra&gt;&lt;/Item&gt;&lt;/References&gt;&lt;/Group&gt;&lt;/Citation&gt;_x000a_"/>
    <w:docVar w:name="NE.Ref{CF930DD7-B99C-4C0B-91F9-9FE5D8E73289}" w:val=" ADDIN NE.Ref.{CF930DD7-B99C-4C0B-91F9-9FE5D8E73289} ADDIN NE.Ref.{CF930DD7-B99C-4C0B-91F9-9FE5D8E73289}&lt;Citation&gt;&lt;Group&gt;&lt;References&gt;&lt;Item&gt;&lt;ID&gt;141&lt;/ID&gt;&lt;UID&gt;{57A62168-A9F8-48DC-828D-5943354C76B4}&lt;/UID&gt;&lt;Title&gt;The R2R3-MYB gene family in Arabidopsis thaliana&lt;/Title&gt;&lt;Template&gt;Journal Article&lt;/Template&gt;&lt;Star&gt;0&lt;/Star&gt;&lt;Tag&gt;0&lt;/Tag&gt;&lt;Author&gt;Stracke, Ralf; Werber, Martin; Weisshaar, Bernd&lt;/Author&gt;&lt;Year&gt;2001&lt;/Year&gt;&lt;Details&gt;&lt;_accessed&gt;60041343&lt;/_accessed&gt;&lt;_cate&gt;Review, Journal Article&lt;/_cate&gt;&lt;_created&gt;60041343&lt;/_created&gt;&lt;_date_display&gt;2001&lt;/_date_display&gt;&lt;_db_updated&gt;PKU Search&lt;/_db_updated&gt;&lt;_doi&gt;10.1016/S1369-5266(00)00199-0&lt;/_doi&gt;&lt;_isbn&gt;1879-0356&lt;/_isbn&gt;&lt;_issue&gt;5&lt;/_issue&gt;&lt;_journal&gt;Current Opinion in Plant Biology&lt;/_journal&gt;&lt;_modified&gt;60041343&lt;/_modified&gt;&lt;_pages&gt;447 - 456&lt;/_pages&gt;&lt;_subject_headings&gt;ranscription factor&lt;/_subject_headings&gt;&lt;_url&gt;http://pku.summon.serialssolutions.com/2.0.0/link/0/eLvHCXMwTZ07CgJBDIYH8QQLWnuBhZnsvLZedhBRsNDGLq89hKc3gxaeIE34-P4Uf5w7hX7N5xonlqiiVNS2hjJBUpm_Rc-vW73eoa3p8kfzNrjdGw_u2dbHch5_zwBGNrpaYGKugr6S8dRr92AohRBKb-RKTJ7zJCig5gQ2ODN6wbhVCbSZQVI4ur0Fav0AlSQm8Q&amp;quot; class=&amp;quot;documentLink; http://dx.doi.org/10.1016/S1369-5266(00)00199-0&lt;/_url&gt;&lt;_volume&gt;4&lt;/_volume&gt;&lt;/Details&gt;&lt;Extra&gt;&lt;DBUID&gt;{EDEA4BC4-0457-43F1-8F42-A2410C0142AC}&lt;/DBUID&gt;&lt;/Extra&gt;&lt;/Item&gt;&lt;/References&gt;&lt;/Group&gt;&lt;/Citation&gt;_x000a_"/>
    <w:docVar w:name="NE.Ref{D47DBC35-0995-4CF6-BB8B-F80267C68DF4}" w:val=" ADDIN NE.Ref.{D47DBC35-0995-4CF6-BB8B-F80267C68DF4} ADDIN NE.Ref.{D47DBC35-0995-4CF6-BB8B-F80267C68DF4}&lt;Citation&gt;&lt;Group&gt;&lt;References&gt;&lt;Item&gt;&lt;ID&gt;160&lt;/ID&gt;&lt;UID&gt;{D47F9C63-DA59-43EA-88AE-3D45E7A9F919}&lt;/UID&gt;&lt;Title&gt;A R2R3-type MYB gene, OsMYB2, is involved in salt, cold, and dehydration tolerance in rice&lt;/Title&gt;&lt;Template&gt;Journal Article&lt;/Template&gt;&lt;Star&gt;0&lt;/Star&gt;&lt;Tag&gt;0&lt;/Tag&gt;&lt;Author&gt;Yang, A; Dai, X; Zhang, W H&lt;/Author&gt;&lt;Year&gt;2012&lt;/Year&gt;&lt;Details&gt;&lt;_accessed&gt;60041400&lt;/_accessed&gt;&lt;_accession_num&gt;22301384&lt;/_accession_num&gt;&lt;_author_adr&gt;State Key Laboratory of Vegetation and Environmental Change, Institute of Botany, the Chinese Academy of Sciences, Beijing 100093, PR China.&lt;/_author_adr&gt;&lt;_created&gt;60041396&lt;/_created&gt;&lt;_date&gt;59037120&lt;/_date&gt;&lt;_date_display&gt;2012 Apr&lt;/_date_display&gt;&lt;_db_updated&gt;PubMed&lt;/_db_updated&gt;&lt;_doi&gt;10.1093/jxb/err431&lt;/_doi&gt;&lt;_issue&gt;7&lt;/_issue&gt;&lt;_journal&gt;J Exp Bot&lt;/_journal&gt;&lt;_keywords&gt;Cold Temperature; *Gene Expression Regulation, Plant; Oryza sativa/genetics/*physiology; Plant Proteins/genetics/*metabolism; Salt-Tolerance; Sodium Chloride/metabolism; Transcription Factors/genetics/*metabolism; Water/metabolism&lt;/_keywords&gt;&lt;_language&gt;eng&lt;/_language&gt;&lt;_modified&gt;60041400&lt;/_modified&gt;&lt;_pages&gt;2541-56&lt;/_pages&gt;&lt;_type_work&gt;Journal Article; Research Support, Non-U.S. Gov&amp;apos;t&lt;/_type_work&gt;&lt;_url&gt;http://www.ncbi.nlm.nih.gov/entrez/query.fcgi?cmd=Retrieve&amp;amp;db=pubmed&amp;amp;dopt=Abstract&amp;amp;list_uids=22301384&amp;amp;query_hl=1&lt;/_url&gt;&lt;_volume&gt;63&lt;/_volume&gt;&lt;/Details&gt;&lt;Extra&gt;&lt;DBUID&gt;{EDEA4BC4-0457-43F1-8F42-A2410C0142AC}&lt;/DBUID&gt;&lt;/Extra&gt;&lt;/Item&gt;&lt;/References&gt;&lt;/Group&gt;&lt;/Citation&gt;_x000a_"/>
    <w:docVar w:name="NE.Ref{D556542F-8FC7-47CE-B4AA-7A03443A348B}" w:val=" ADDIN NE.Ref.{D556542F-8FC7-47CE-B4AA-7A03443A348B} ADDIN NE.Ref.{D556542F-8FC7-47CE-B4AA-7A03443A348B}&lt;Citation&gt;&lt;Group&gt;&lt;References&gt;&lt;Item&gt;&lt;ID&gt;173&lt;/ID&gt;&lt;UID&gt;{011F6E50-5509-4CEF-9A35-D4FFB7A44A05}&lt;/UID&gt;&lt;Title&gt;Soybean GmMYB76, GmMYB92, and GmMYB177 genes confer stress tolerance in transgenic Arabidopsis plants&lt;/Title&gt;&lt;Template&gt;Journal Article&lt;/Template&gt;&lt;Star&gt;0&lt;/Star&gt;&lt;Tag&gt;0&lt;/Tag&gt;&lt;Author&gt;Liao, Y; Zou, H F; Wang, H W; Zhang, W K; Ma, B; Zhang, J S; Chen, S Y&lt;/Author&gt;&lt;Year&gt;2008&lt;/Year&gt;&lt;Details&gt;&lt;_accessed&gt;60041446&lt;/_accessed&gt;&lt;_accession_num&gt;18725908&lt;/_accession_num&gt;&lt;_author_adr&gt;Plant Gene Research Center, National Key Lab of Plant Genomics, Institute of Genetics and Developmental Biology, Chinese Academy of Sciences, Beijing 100101,  China.&lt;/_author_adr&gt;&lt;_created&gt;60041446&lt;/_created&gt;&lt;_date&gt;57196800&lt;/_date&gt;&lt;_date_display&gt;2008 Oct&lt;/_date_display&gt;&lt;_db_updated&gt;PubMed&lt;/_db_updated&gt;&lt;_doi&gt;10.1038/cr.2008.280&lt;/_doi&gt;&lt;_issue&gt;10&lt;/_issue&gt;&lt;_journal&gt;Cell Res&lt;/_journal&gt;&lt;_keywords&gt;Abscisic Acid/metabolism; Arabidopsis/classification/*genetics/metabolism; Freezing; Gene Expression Regulation, Plant; Germination/drug effects/genetics; Phylogeny; Plant Growth Regulators/metabolism; Plant Proteins/*genetics/*metabolism; Plants, Genetically Modified/*genetics/metabolism; Proto-Oncogene Proteins c-myb/genetics/*metabolism; Sodium Chloride/metabolism; Soybeans/*genetics/metabolism; Transcriptional Activation/drug effects&lt;/_keywords&gt;&lt;_language&gt;eng&lt;/_language&gt;&lt;_modified&gt;60041446&lt;/_modified&gt;&lt;_pages&gt;1047-60&lt;/_pages&gt;&lt;_type_work&gt;Journal Article; Research Support, Non-U.S. Gov&amp;apos;t&lt;/_type_work&gt;&lt;_url&gt;http://www.ncbi.nlm.nih.gov/entrez/query.fcgi?cmd=Retrieve&amp;amp;db=pubmed&amp;amp;dopt=Abstract&amp;amp;list_uids=18725908&amp;amp;query_hl=1&lt;/_url&gt;&lt;_volume&gt;18&lt;/_volume&gt;&lt;/Details&gt;&lt;Extra&gt;&lt;DBUID&gt;{EDEA4BC4-0457-43F1-8F42-A2410C0142AC}&lt;/DBUID&gt;&lt;/Extra&gt;&lt;/Item&gt;&lt;/References&gt;&lt;/Group&gt;&lt;/Citation&gt;_x000a_"/>
    <w:docVar w:name="NE.Ref{DDA2EC8D-2206-4702-8F8D-9A8661CF7FB0}" w:val=" ADDIN NE.Ref.{DDA2EC8D-2206-4702-8F8D-9A8661CF7FB0} ADDIN NE.Ref.{DDA2EC8D-2206-4702-8F8D-9A8661CF7FB0}&lt;Citation&gt;&lt;Group&gt;&lt;References&gt;&lt;Item&gt;&lt;ID&gt;147&lt;/ID&gt;&lt;UID&gt;{094264B5-8A87-4F2C-AE28-B02B05239581}&lt;/UID&gt;&lt;Title&gt;QsMYB1 expression is modulated in response to heat and drought stresses and during plant recovery in Quercus suber&lt;/Title&gt;&lt;Template&gt;Journal Article&lt;/Template&gt;&lt;Star&gt;0&lt;/Star&gt;&lt;Tag&gt;0&lt;/Tag&gt;&lt;Author&gt;Almeida, T; Pinto, G; Correia, B; Santos, C; Goncalves, S&lt;/Author&gt;&lt;Year&gt;2013&lt;/Year&gt;&lt;Details&gt;&lt;_accessed&gt;60041368&lt;/_accessed&gt;&lt;_accession_num&gt;24161757&lt;/_accession_num&gt;&lt;_author_adr&gt;Centro de Biotecnologia Agricola e Agro-Alimentar do Alentejo (CEBAL)/Instituto Politecnico de Beja (IPBeja), Rua Pedro Soares, 7801-908 Beja, Portugal; Centre for Research in Ceramics &amp;amp; Composite Materials (CICECO), University of Aveiro, Campus Universitario de Santiago, 3810-193 Aveiro, Portugal; Departament of Biology &amp;amp; Centre for Environmental and Marine Studies (CESAM), University of Aveiro, Campus Universitario de Santiago, 3810-193 Aveiro, Portugal. Electronic address: tania.almeida@cebal.pt.&lt;/_author_adr&gt;&lt;_created&gt;60041367&lt;/_created&gt;&lt;_date&gt;59914080&lt;/_date&gt;&lt;_date_display&gt;2013 Dec&lt;/_date_display&gt;&lt;_db_updated&gt;PubMed&lt;/_db_updated&gt;&lt;_doi&gt;10.1016/j.plaphy.2013.10.007&lt;/_doi&gt;&lt;_journal&gt;Plant Physiol Biochem&lt;/_journal&gt;&lt;_keywords&gt;5′-untranslated region; 5′UTR; Abiotic stress; Cork oak; DW; F; F(0); F(m); F(v); F(v)/F(m); FC; FW; Gene expression; MDA; R2R3-MYB; RT-qPCR; RWC; Recovery; TFs; TW; WS; WW; dry weight; field capacity; gDNA; genomic DNA; malondialdehyde; maximum fluorescence; maximum quantum yield of PSII photochemistry; minimum fluorescence; quantum yield of PSII photochemistry; relative water content; reverse transcription quantitative PCR; steady state fluorescence; tissue fresh weight; transcription factors; turgid weight; variable fluorescence; water stress; well watered; Ф(PSII)&lt;/_keywords&gt;&lt;_language&gt;eng&lt;/_language&gt;&lt;_modified&gt;60041368&lt;/_modified&gt;&lt;_ori_publication&gt;Copyright (c) 2013 Elsevier Masson SAS. All rights reserved.&lt;/_ori_publication&gt;&lt;_pages&gt;274-81&lt;/_pages&gt;&lt;_type_work&gt;Journal Article; Research Support, Non-U.S. Gov&amp;apos;t&lt;/_type_work&gt;&lt;_url&gt;http://www.ncbi.nlm.nih.gov/entrez/query.fcgi?cmd=Retrieve&amp;amp;db=pubmed&amp;amp;dopt=Abstract&amp;amp;list_uids=24161757&amp;amp;query_hl=1&lt;/_url&gt;&lt;_volume&gt;73&lt;/_volume&gt;&lt;/Details&gt;&lt;Extra&gt;&lt;DBUID&gt;{EDEA4BC4-0457-43F1-8F42-A2410C0142AC}&lt;/DBUID&gt;&lt;/Extra&gt;&lt;/Item&gt;&lt;/References&gt;&lt;/Group&gt;&lt;/Citation&gt;_x000a_"/>
    <w:docVar w:name="NE.Ref{DF581649-A36F-4C7F-B591-560C7458C25E}" w:val=" ADDIN NE.Ref.{DF581649-A36F-4C7F-B591-560C7458C25E} ADDIN NE.Ref.{DF581649-A36F-4C7F-B591-560C7458C25E}&lt;Citation&gt;&lt;Group&gt;&lt;References&gt;&lt;Item&gt;&lt;ID&gt;134&lt;/ID&gt;&lt;UID&gt;{DA77FB04-FCDF-4C03-99A7-0FAD7976D6DD}&lt;/UID&gt;&lt;Title&gt;Overexpression of the Wounding-Responsive Gene AtMYB15 Activates the Shikimate Pathway in Arabidopsis&lt;/Title&gt;&lt;Template&gt;Journal Article&lt;/Template&gt;&lt;Star&gt;0&lt;/Star&gt;&lt;Tag&gt;0&lt;/Tag&gt;&lt;Author&gt;Chen, Yanhui; Zhang, Xiangbo; Wu, Wei; Chen, Zhangliang; Gu, Hongya; Qu, Li-Jia&lt;/Author&gt;&lt;Year&gt;2006&lt;/Year&gt;&lt;Details&gt;&lt;_accessed&gt;60027410&lt;/_accessed&gt;&lt;_created&gt;60027385&lt;/_created&gt;&lt;_db_updated&gt;GoogleScholar&lt;/_db_updated&gt;&lt;_issue&gt;9&lt;/_issue&gt;&lt;_journal&gt;Journal of Integrative Plant Biology&lt;/_journal&gt;&lt;_modified&gt;60027385&lt;/_modified&gt;&lt;_pages&gt;1084--1095&lt;/_pages&gt;&lt;_volume&gt;48&lt;/_volume&gt;&lt;/Details&gt;&lt;Extra&gt;&lt;DBUID&gt;{EDEA4BC4-0457-43F1-8F42-A2410C0142AC}&lt;/DBUID&gt;&lt;/Extra&gt;&lt;/Item&gt;&lt;/References&gt;&lt;/Group&gt;&lt;/Citation&gt;_x000a_"/>
    <w:docVar w:name="NE.Ref{DFEF89B4-40B8-4E97-AB75-01EEDA5A6D68}" w:val=" ADDIN NE.Ref.{DFEF89B4-40B8-4E97-AB75-01EEDA5A6D68} ADDIN NE.Ref.{DFEF89B4-40B8-4E97-AB75-01EEDA5A6D68}&lt;Citation&gt;&lt;Group&gt;&lt;References&gt;&lt;Item&gt;&lt;ID&gt;140&lt;/ID&gt;&lt;UID&gt;{43A00309-DE7A-498F-BE64-C34FB67768BA}&lt;/UID&gt;&lt;Title&gt;Overexpression of a wheat MYB transcription factor gene, TaMYB56-B, enhances tolerances to freezing and salt stresses in transgenic Arabidopsis&lt;/Title&gt;&lt;Template&gt;Journal Article&lt;/Template&gt;&lt;Star&gt;0&lt;/Star&gt;&lt;Tag&gt;0&lt;/Tag&gt;&lt;Author&gt;Zhang, L; Zhao, G; Xia, C; Jia, J; Liu, X; Kong, X&lt;/Author&gt;&lt;Year&gt;2012&lt;/Year&gt;&lt;Details&gt;&lt;_accessed&gt;60028717&lt;/_accessed&gt;&lt;_accession_num&gt;22634104&lt;/_accession_num&gt;&lt;_author_adr&gt;Key Laboratory of Crop Germplasm Resources and Utilization, Ministry of Agriculture, The National Key Facility for Crop Gene Resources and Genetic Improvement, Institute of Crop Science, Chinese Academy of Agricultural Sciences, Beijing 100081, China. Lichao_zh@yahoo.com.cn&lt;/_author_adr&gt;&lt;_created&gt;60028717&lt;/_created&gt;&lt;_date&gt;59232960&lt;/_date&gt;&lt;_date_display&gt;2012 Aug 15&lt;/_date_display&gt;&lt;_db_updated&gt;PubMed&lt;/_db_updated&gt;&lt;_doi&gt;10.1016/j.gene.2012.05.033&lt;/_doi&gt;&lt;_issue&gt;1&lt;/_issue&gt;&lt;_journal&gt;Gene&lt;/_journal&gt;&lt;_keywords&gt;Chromosomes, Plant/genetics/*metabolism; Cold-Shock Response/*physiology; Freezing; Gene Expression Regulation, Plant/*physiology; Genes, Plant/physiology; Plant Proteins/*biosynthesis/genetics; Transcription Factors/*biosynthesis/genetics; Triticum/genetics/*metabolism&lt;/_keywords&gt;&lt;_language&gt;eng&lt;/_language&gt;&lt;_modified&gt;60028717&lt;/_modified&gt;&lt;_ori_publication&gt;Copyright (c) 2012 Elsevier B.V. All rights reserved.&lt;/_ori_publication&gt;&lt;_pages&gt;100-7&lt;/_pages&gt;&lt;_type_work&gt;Journal Article; Research Support, Non-U.S. Gov&amp;apos;t&lt;/_type_work&gt;&lt;_url&gt;http://www.ncbi.nlm.nih.gov/entrez/query.fcgi?cmd=Retrieve&amp;amp;db=pubmed&amp;amp;dopt=Abstract&amp;amp;list_uids=22634104&amp;amp;query_hl=1&lt;/_url&gt;&lt;_volume&gt;505&lt;/_volume&gt;&lt;/Details&gt;&lt;Extra&gt;&lt;DBUID&gt;{EDEA4BC4-0457-43F1-8F42-A2410C0142AC}&lt;/DBUID&gt;&lt;/Extra&gt;&lt;/Item&gt;&lt;/References&gt;&lt;/Group&gt;&lt;/Citation&gt;_x000a_"/>
    <w:docVar w:name="NE.Ref{E00EB108-9C64-4DE8-9635-FB3768D18BF5}" w:val=" ADDIN NE.Ref.{E00EB108-9C64-4DE8-9635-FB3768D18BF5} ADDIN NE.Ref.{E00EB108-9C64-4DE8-9635-FB3768D18BF5}&lt;Citation&gt;&lt;Group&gt;&lt;References&gt;&lt;Item&gt;&lt;ID&gt;182&lt;/ID&gt;&lt;UID&gt;{D16B0631-838B-4A90-8376-8B467E7D2AC3}&lt;/UID&gt;&lt;Title&gt;Effect of abiotic stress stimuli on S-nitrosoglutathione reductase in plants&lt;/Title&gt;&lt;Template&gt;Journal Article&lt;/Template&gt;&lt;Star&gt;0&lt;/Star&gt;&lt;Tag&gt;0&lt;/Tag&gt;&lt;Author&gt;Kubienova, L; Ticha, T; Jahnova, J; Luhova, L; Mieslerova, B; Petrivalsky, M&lt;/Author&gt;&lt;Year&gt;2014&lt;/Year&gt;&lt;Details&gt;&lt;_accessed&gt;60041541&lt;/_accessed&gt;&lt;_accession_num&gt;24104214&lt;/_accession_num&gt;&lt;_author_adr&gt;Department of Biochemistry, Palacky University in Olomouc, Slechtitelu 11, 78371, Olomouc, Czech Republic.&lt;/_author_adr&gt;&lt;_created&gt;60041540&lt;/_created&gt;&lt;_date&gt;59958720&lt;/_date&gt;&lt;_date_display&gt;2014 Jan&lt;/_date_display&gt;&lt;_db_updated&gt;PubMed&lt;/_db_updated&gt;&lt;_doi&gt;10.1007/s00425-013-1970-5&lt;/_doi&gt;&lt;_issue&gt;1&lt;/_issue&gt;&lt;_journal&gt;Planta&lt;/_journal&gt;&lt;_language&gt;eng&lt;/_language&gt;&lt;_modified&gt;60041541&lt;/_modified&gt;&lt;_pages&gt;139-46&lt;/_pages&gt;&lt;_type_work&gt;Journal Article; Research Support, Non-U.S. Gov&amp;apos;t&lt;/_type_work&gt;&lt;_url&gt;http://www.ncbi.nlm.nih.gov/entrez/query.fcgi?cmd=Retrieve&amp;amp;db=pubmed&amp;amp;dopt=Abstract&amp;amp;list_uids=24104214&amp;amp;query_hl=1&lt;/_url&gt;&lt;_volume&gt;239&lt;/_volume&gt;&lt;/Details&gt;&lt;Extra&gt;&lt;DBUID&gt;{EDEA4BC4-0457-43F1-8F42-A2410C0142AC}&lt;/DBUID&gt;&lt;/Extra&gt;&lt;/Item&gt;&lt;/References&gt;&lt;/Group&gt;&lt;/Citation&gt;_x000a_"/>
    <w:docVar w:name="NE.Ref{E6D53EDB-7487-4A83-B239-AC63D88CFDC0}" w:val=" ADDIN NE.Ref.{E6D53EDB-7487-4A83-B239-AC63D88CFDC0} ADDIN NE.Ref.{E6D53EDB-7487-4A83-B239-AC63D88CFDC0}&lt;Citation&gt;&lt;Group&gt;&lt;References&gt;&lt;Item&gt;&lt;ID&gt;171&lt;/ID&gt;&lt;UID&gt;{7E1420BA-D675-4BE4-9EA6-4323840579A1}&lt;/UID&gt;&lt;Title&gt;Interplay between cold-responsive gene regulation, metabolism and RNA processing  during plant cold acclimation&lt;/Title&gt;&lt;Template&gt;Journal Article&lt;/Template&gt;&lt;Star&gt;0&lt;/Star&gt;&lt;Tag&gt;0&lt;/Tag&gt;&lt;Author&gt;Zhu, J; Dong, C H; Zhu, J K&lt;/Author&gt;&lt;Year&gt;2007&lt;/Year&gt;&lt;Details&gt;&lt;_accessed&gt;60041446&lt;/_accessed&gt;&lt;_accession_num&gt;17468037&lt;/_accession_num&gt;&lt;_author_adr&gt;Department of Botany and Plant Sciences, 2150 Batchelor Hall, University of California-Riverside, California 92521, USA.&lt;/_author_adr&gt;&lt;_created&gt;60041443&lt;/_created&gt;&lt;_date&gt;56494080&lt;/_date&gt;&lt;_date_display&gt;2007 Jun&lt;/_date_display&gt;&lt;_db_updated&gt;PubMed&lt;/_db_updated&gt;&lt;_doi&gt;10.1016/j.pbi.2007.04.010&lt;/_doi&gt;&lt;_issue&gt;3&lt;/_issue&gt;&lt;_journal&gt;Curr Opin Plant Biol&lt;/_journal&gt;&lt;_keywords&gt;Acclimatization/*physiology; Active Transport, Cell Nucleus; Arabidopsis/genetics/*metabolism/physiology; Cell Nucleus/*metabolism; *Cold Temperature; Gene Expression Regulation, Plant; Plant Proteins/metabolism; RNA Processing, Post-Transcriptional; RNA, Plant/*metabolism; Regulon; Transcription, Genetic; Ubiquitin/metabolism&lt;/_keywords&gt;&lt;_language&gt;eng&lt;/_language&gt;&lt;_modified&gt;60041446&lt;/_modified&gt;&lt;_pages&gt;290-5&lt;/_pages&gt;&lt;_type_work&gt;Journal Article; Research Support, N.I.H., Extramural; Research Support, U.S. Gov&amp;apos;t, Non-P.H.S.; Review&lt;/_type_work&gt;&lt;_url&gt;http://www.ncbi.nlm.nih.gov/entrez/query.fcgi?cmd=Retrieve&amp;amp;db=pubmed&amp;amp;dopt=Abstract&amp;amp;list_uids=17468037&amp;amp;query_hl=1&lt;/_url&gt;&lt;_volume&gt;10&lt;/_volume&gt;&lt;/Details&gt;&lt;Extra&gt;&lt;DBUID&gt;{EDEA4BC4-0457-43F1-8F42-A2410C0142AC}&lt;/DBUID&gt;&lt;/Extra&gt;&lt;/Item&gt;&lt;/References&gt;&lt;/Group&gt;&lt;/Citation&gt;_x000a_"/>
    <w:docVar w:name="NE.Ref{E7ABF5D9-1E04-49E8-B871-ED75312AC068}" w:val=" ADDIN NE.Ref.{E7ABF5D9-1E04-49E8-B871-ED75312AC068} ADDIN NE.Ref.{E7ABF5D9-1E04-49E8-B871-ED75312AC068}&lt;Citation&gt;&lt;Group&gt;&lt;References&gt;&lt;Item&gt;&lt;ID&gt;159&lt;/ID&gt;&lt;UID&gt;{A0A36834-E574-43A7-BF9A-661BAEB5C152}&lt;/UID&gt;&lt;Title&gt;Over-expression of TaMYB33 encoding a novel wheat MYB transcription factor increases salt and drought tolerance in Arabidopsis&lt;/Title&gt;&lt;Template&gt;Journal Article&lt;/Template&gt;&lt;Star&gt;0&lt;/Star&gt;&lt;Tag&gt;0&lt;/Tag&gt;&lt;Author&gt;Qin, Y; Wang, M; Tian, Y; He, W; Han, L; Xia, G&lt;/Author&gt;&lt;Year&gt;2012&lt;/Year&gt;&lt;Details&gt;&lt;_accessed&gt;60041401&lt;/_accessed&gt;&lt;_accession_num&gt;22350156&lt;/_accession_num&gt;&lt;_author_adr&gt;Department of Biological Science and Biotechnology, University of Jinan, Jinan, People&amp;apos;s Republic of China. yuxiangqin@126.com&lt;/_author_adr&gt;&lt;_created&gt;60041395&lt;/_created&gt;&lt;_date&gt;59124960&lt;/_date&gt;&lt;_date_display&gt;2012 Jun&lt;/_date_display&gt;&lt;_db_updated&gt;PubMed&lt;/_db_updated&gt;&lt;_doi&gt;10.1007/s11033-012-1550-y&lt;/_doi&gt;&lt;_issue&gt;6&lt;/_issue&gt;&lt;_journal&gt;Mol Biol Rep&lt;/_journal&gt;&lt;_keywords&gt;Amino Acid Sequence; Arabidopsis/genetics/*physiology; Cloning, Molecular; Droughts; Gene Expression Regulation, Plant; Genetic Enhancement; Molecular Sequence Data; Phylogeny; Plant Proteins/biosynthesis/*genetics; Plants, Genetically Modified; Promoter Regions, Genetic; Real-Time Polymerase Chain Reaction; Recombinant Proteins/biosynthesis/genetics; Salt-Tolerance/*genetics; Sequence Analysis, DNA; Stress, Physiological/*genetics; Transcription Factors/biosynthesis/*genetics; Transcription, Genetic; Triticum/*genetics&lt;/_keywords&gt;&lt;_language&gt;eng&lt;/_language&gt;&lt;_modified&gt;60041401&lt;/_modified&gt;&lt;_pages&gt;7183-92&lt;/_pages&gt;&lt;_type_work&gt;Journal Article; Research Support, Non-U.S. Gov&amp;apos;t&lt;/_type_work&gt;&lt;_url&gt;http://www.ncbi.nlm.nih.gov/entrez/query.fcgi?cmd=Retrieve&amp;amp;db=pubmed&amp;amp;dopt=Abstract&amp;amp;list_uids=22350156&amp;amp;query_hl=1&lt;/_url&gt;&lt;_volume&gt;39&lt;/_volume&gt;&lt;/Details&gt;&lt;Extra&gt;&lt;DBUID&gt;{EDEA4BC4-0457-43F1-8F42-A2410C0142AC}&lt;/DBUID&gt;&lt;/Extra&gt;&lt;/Item&gt;&lt;/References&gt;&lt;/Group&gt;&lt;/Citation&gt;_x000a_"/>
    <w:docVar w:name="NE.Ref{F55358C2-1CB0-48C2-A85D-D8DD23D02CC3}" w:val=" ADDIN NE.Ref.{F55358C2-1CB0-48C2-A85D-D8DD23D02CC3} ADDIN NE.Ref.{F55358C2-1CB0-48C2-A85D-D8DD23D02CC3}&lt;Citation&gt;&lt;Group&gt;&lt;References&gt;&lt;Item&gt;&lt;ID&gt;175&lt;/ID&gt;&lt;UID&gt;{242E89BE-CE3C-4E7F-9909-A8BEC67E0460}&lt;/UID&gt;&lt;Title&gt;Functional diversity of R3 single-repeat genes in trichome development&lt;/Title&gt;&lt;Template&gt;Journal Article&lt;/Template&gt;&lt;Star&gt;0&lt;/Star&gt;&lt;Tag&gt;0&lt;/Tag&gt;&lt;Author&gt;Wester, K; Digiuni, S; Geier, F; Timmer, J; Fleck, C; Hulskamp, M&lt;/Author&gt;&lt;Year&gt;2009&lt;/Year&gt;&lt;Details&gt;&lt;_accessed&gt;60041535&lt;/_accessed&gt;&lt;_accession_num&gt;19336467&lt;/_accession_num&gt;&lt;_author_adr&gt;University of Cologne, Botanical Institute III, Gyrhofstr. 15, 50931 Cologne, Germany.&lt;/_author_adr&gt;&lt;_created&gt;60041533&lt;/_created&gt;&lt;_date&gt;57502080&lt;/_date&gt;&lt;_date_display&gt;2009 May&lt;/_date_display&gt;&lt;_db_updated&gt;PubMed&lt;/_db_updated&gt;&lt;_doi&gt;10.1242/dev.021733&lt;/_doi&gt;&lt;_issue&gt;9&lt;/_issue&gt;&lt;_journal&gt;Development&lt;/_journal&gt;&lt;_keywords&gt;Arabidopsis/*anatomy &amp;amp; histology/genetics/growth &amp;amp; development/*metabolism; Arabidopsis Proteins/genetics/*metabolism; Cell Movement; Gene Expression Regulation, Plant; Mutation/genetics; Phenotype; Plant Leaves/anatomy &amp;amp; histology/genetics/metabolism; Plant Roots/genetics/growth &amp;amp; development/metabolism; Plants, Genetically Modified; Promoter Regions, Genetic/genetics; Protein Binding&lt;/_keywords&gt;&lt;_language&gt;eng&lt;/_language&gt;&lt;_modified&gt;60041535&lt;/_modified&gt;&lt;_pages&gt;1487-96&lt;/_pages&gt;&lt;_type_work&gt;Journal Article; Research Support, Non-U.S. Gov&amp;apos;t&lt;/_type_work&gt;&lt;_url&gt;http://www.ncbi.nlm.nih.gov/entrez/query.fcgi?cmd=Retrieve&amp;amp;db=pubmed&amp;amp;dopt=Abstract&amp;amp;list_uids=19336467&amp;amp;query_hl=1&lt;/_url&gt;&lt;_volume&gt;136&lt;/_volume&gt;&lt;/Details&gt;&lt;Extra&gt;&lt;DBUID&gt;{EDEA4BC4-0457-43F1-8F42-A2410C0142AC}&lt;/DBUID&gt;&lt;/Extra&gt;&lt;/Item&gt;&lt;/References&gt;&lt;/Group&gt;&lt;/Citation&gt;_x000a_"/>
    <w:docVar w:name="NE.Ref{F8DB2A68-A126-4356-81D6-95ECB6F4CDEC}" w:val=" ADDIN NE.Ref.{F8DB2A68-A126-4356-81D6-95ECB6F4CDEC} ADDIN NE.Ref.{F8DB2A68-A126-4356-81D6-95ECB6F4CDEC}&lt;Citation&gt;&lt;Group&gt;&lt;References&gt;&lt;Item&gt;&lt;ID&gt;143&lt;/ID&gt;&lt;UID&gt;{D59BE615-5A37-405A-A0F4-EBDFA8B0FFC5}&lt;/UID&gt;&lt;Title&gt;Identification of 30 MYB transcription factor genes and analysis of their expression during abiotic stress in peanut (Arachis hypogaea L.)&lt;/Title&gt;&lt;Template&gt;Journal Article&lt;/Template&gt;&lt;Star&gt;0&lt;/Star&gt;&lt;Tag&gt;0&lt;/Tag&gt;&lt;Author&gt;Chen, N; Yang, Q; Pan, L; Chi, X; Chen, M; Hu, D; Yang, Z; Wang, T; Wang, M; Yu, S&lt;/Author&gt;&lt;Year&gt;2014&lt;/Year&gt;&lt;Details&gt;&lt;_accessed&gt;60041348&lt;/_accessed&gt;&lt;_accession_num&gt;24013078&lt;/_accession_num&gt;&lt;_author_adr&gt;Shandong Peanut Research Institute, Qingdao 266100, China.&lt;/_author_adr&gt;&lt;_created&gt;60041347&lt;/_created&gt;&lt;_date&gt;59958720&lt;/_date&gt;&lt;_date_display&gt;2014 Jan 1&lt;/_date_display&gt;&lt;_db_updated&gt;PubMed&lt;/_db_updated&gt;&lt;_doi&gt;10.1016/j.gene.2013.08.092&lt;/_doi&gt;&lt;_issue&gt;1&lt;/_issue&gt;&lt;_journal&gt;Gene&lt;/_journal&gt;&lt;_keywords&gt;Amino Acid Sequence; Arachis hypogaea/*genetics/physiology; DNA, Complementary; *Genes, Plant; *Genes, myb; Molecular Sequence Data; Phylogeny; Plant Proteins/chemistry/genetics; Real-Time Polymerase Chain Reaction; *Stress, PhysiologicalABA; AP2; APETELA2; Abiotic stress; ESTs; Expressed Sequence Tags; LCL1; LHY/CCA1-like 1; MYB; NJ tree; Neighbor-joining tree; ORFs; Phylogenetic analysis; TFs; abscisic acid; open reading frames; transcription factors&lt;/_keywords&gt;&lt;_language&gt;eng&lt;/_language&gt;&lt;_modified&gt;60041348&lt;/_modified&gt;&lt;_ori_publication&gt;(c) 2013.&lt;/_ori_publication&gt;&lt;_pages&gt;332-45&lt;/_pages&gt;&lt;_type_work&gt;Journal Article; Research Support, Non-U.S. Gov&amp;apos;t&lt;/_type_work&gt;&lt;_url&gt;http://www.ncbi.nlm.nih.gov/entrez/query.fcgi?cmd=Retrieve&amp;amp;db=pubmed&amp;amp;dopt=Abstract&amp;amp;list_uids=24013078&amp;amp;query_hl=1&lt;/_url&gt;&lt;_volume&gt;533&lt;/_volume&gt;&lt;/Details&gt;&lt;Extra&gt;&lt;DBUID&gt;{EDEA4BC4-0457-43F1-8F42-A2410C0142AC}&lt;/DBUID&gt;&lt;/Extra&gt;&lt;/Item&gt;&lt;/References&gt;&lt;/Group&gt;&lt;/Citation&gt;_x000a_"/>
    <w:docVar w:name="NE.Ref{FECC4F15-C132-4FAD-AB40-CD644E02D91A}" w:val=" ADDIN NE.Ref.{FECC4F15-C132-4FAD-AB40-CD644E02D91A} ADDIN NE.Ref.{FECC4F15-C132-4FAD-AB40-CD644E02D91A}&lt;Citation&gt;&lt;Group&gt;&lt;References&gt;&lt;Item&gt;&lt;ID&gt;146&lt;/ID&gt;&lt;UID&gt;{CEC97C6C-B751-48FE-BF2B-DA355BBD333A}&lt;/UID&gt;&lt;Title&gt;Arabidopsis MYB68 in development and responses to environmental cues&lt;/Title&gt;&lt;Template&gt;Journal Article&lt;/Template&gt;&lt;Star&gt;0&lt;/Star&gt;&lt;Tag&gt;0&lt;/Tag&gt;&lt;Author&gt;Feng, Caiping; Andreasson, Erik; Maslak, Andrea; Mock, Hans Peter; Mattsson, Ole; Mundy, John&lt;/Author&gt;&lt;Year&gt;2004&lt;/Year&gt;&lt;Details&gt;&lt;_accessed&gt;60041368&lt;/_accessed&gt;&lt;_created&gt;60041366&lt;/_created&gt;&lt;_date_display&gt;2004&lt;/_date_display&gt;&lt;_db_updated&gt;PKU Search&lt;/_db_updated&gt;&lt;_doi&gt;10.1016/j.plantsci.2004.06.014&lt;/_doi&gt;&lt;_isbn&gt;1873-2259&lt;/_isbn&gt;&lt;_issue&gt;5&lt;/_issue&gt;&lt;_journal&gt;Plant Science&lt;/_journal&gt;&lt;_modified&gt;60041368&lt;/_modified&gt;&lt;_pages&gt;1099 - 1107&lt;/_pages&gt;&lt;_subject_headings&gt;Heat-shock&lt;/_subject_headings&gt;&lt;_url&gt;http://pku.summon.serialssolutions.com/2.0.0/link/0/eLvHCXMwTZ1BCgIxDEWLeAJBb1GYNDNpZi1TRBRc6MZdmzSH8PSm4MITZPfzsng_QwM2ntQXLyo5flsXXRyyq_BkOREPE_l959sjlW25_qV5OYTdpx7Dq2zP8yX-ngFEAYfaKLRC09ooVZ2roqCoaB9uZ2s-zRI5qTAIINk6Gi4tmyDPnZsQZTiFvR_U_QuZ0ibY&amp;quot; class=&amp;quot;documentLink; http://dx.doi.org/10.1016/j.plantsci.2004.06.014&lt;/_url&gt;&lt;_volume&gt;167&lt;/_volume&gt;&lt;/Details&gt;&lt;Extra&gt;&lt;DBUID&gt;{EDEA4BC4-0457-43F1-8F42-A2410C0142AC}&lt;/DBUID&gt;&lt;/Extra&gt;&lt;/Item&gt;&lt;/References&gt;&lt;/Group&gt;&lt;/Citation&gt;_x000a_"/>
    <w:docVar w:name="ne_stylename" w:val="园艺学报"/>
  </w:docVars>
  <w:rsids>
    <w:rsidRoot w:val="00584C14"/>
    <w:rsid w:val="0000009F"/>
    <w:rsid w:val="00001445"/>
    <w:rsid w:val="00001EA9"/>
    <w:rsid w:val="00002F91"/>
    <w:rsid w:val="000060E8"/>
    <w:rsid w:val="00012F54"/>
    <w:rsid w:val="00016AD6"/>
    <w:rsid w:val="00025173"/>
    <w:rsid w:val="00030F42"/>
    <w:rsid w:val="00033337"/>
    <w:rsid w:val="00036741"/>
    <w:rsid w:val="00037A60"/>
    <w:rsid w:val="00037F02"/>
    <w:rsid w:val="000407AA"/>
    <w:rsid w:val="00040F5A"/>
    <w:rsid w:val="0004335E"/>
    <w:rsid w:val="000466A2"/>
    <w:rsid w:val="000473F0"/>
    <w:rsid w:val="0004795C"/>
    <w:rsid w:val="000513E8"/>
    <w:rsid w:val="000565FC"/>
    <w:rsid w:val="00056634"/>
    <w:rsid w:val="00056C34"/>
    <w:rsid w:val="00061010"/>
    <w:rsid w:val="000632C4"/>
    <w:rsid w:val="0006624E"/>
    <w:rsid w:val="00066976"/>
    <w:rsid w:val="00066C97"/>
    <w:rsid w:val="00067A06"/>
    <w:rsid w:val="0007269D"/>
    <w:rsid w:val="000763C7"/>
    <w:rsid w:val="000778BD"/>
    <w:rsid w:val="000834A8"/>
    <w:rsid w:val="000841A6"/>
    <w:rsid w:val="00085595"/>
    <w:rsid w:val="00091E02"/>
    <w:rsid w:val="00093AA9"/>
    <w:rsid w:val="00093D9F"/>
    <w:rsid w:val="00097CA3"/>
    <w:rsid w:val="000A011C"/>
    <w:rsid w:val="000A12E8"/>
    <w:rsid w:val="000A1AF9"/>
    <w:rsid w:val="000A1E1D"/>
    <w:rsid w:val="000A2BB0"/>
    <w:rsid w:val="000B7400"/>
    <w:rsid w:val="000C69F3"/>
    <w:rsid w:val="000C74C8"/>
    <w:rsid w:val="000C7EE7"/>
    <w:rsid w:val="000C7FE8"/>
    <w:rsid w:val="000D17EE"/>
    <w:rsid w:val="000D4D9E"/>
    <w:rsid w:val="000D4E15"/>
    <w:rsid w:val="000E086D"/>
    <w:rsid w:val="000E1C7D"/>
    <w:rsid w:val="000E1FC5"/>
    <w:rsid w:val="000E4463"/>
    <w:rsid w:val="000F2822"/>
    <w:rsid w:val="000F736D"/>
    <w:rsid w:val="000F7CC8"/>
    <w:rsid w:val="0010360F"/>
    <w:rsid w:val="00105BDD"/>
    <w:rsid w:val="00106011"/>
    <w:rsid w:val="00106495"/>
    <w:rsid w:val="001065C4"/>
    <w:rsid w:val="00106BCF"/>
    <w:rsid w:val="00113ABF"/>
    <w:rsid w:val="001151CE"/>
    <w:rsid w:val="00116A52"/>
    <w:rsid w:val="0011788F"/>
    <w:rsid w:val="00122A8D"/>
    <w:rsid w:val="00123979"/>
    <w:rsid w:val="00124418"/>
    <w:rsid w:val="001266A2"/>
    <w:rsid w:val="001276B8"/>
    <w:rsid w:val="00137098"/>
    <w:rsid w:val="001406F8"/>
    <w:rsid w:val="00141C1A"/>
    <w:rsid w:val="0014398C"/>
    <w:rsid w:val="00144609"/>
    <w:rsid w:val="00147C83"/>
    <w:rsid w:val="00153EEE"/>
    <w:rsid w:val="00162647"/>
    <w:rsid w:val="0016309B"/>
    <w:rsid w:val="001634D1"/>
    <w:rsid w:val="001657DA"/>
    <w:rsid w:val="00165CA4"/>
    <w:rsid w:val="00171DBF"/>
    <w:rsid w:val="00175D1E"/>
    <w:rsid w:val="001831A3"/>
    <w:rsid w:val="00184DB9"/>
    <w:rsid w:val="0018670C"/>
    <w:rsid w:val="00190A1E"/>
    <w:rsid w:val="001936D8"/>
    <w:rsid w:val="001969F7"/>
    <w:rsid w:val="001A08C5"/>
    <w:rsid w:val="001A0B10"/>
    <w:rsid w:val="001A2849"/>
    <w:rsid w:val="001A3FF8"/>
    <w:rsid w:val="001A5AB0"/>
    <w:rsid w:val="001A75B5"/>
    <w:rsid w:val="001B14D6"/>
    <w:rsid w:val="001B1E7D"/>
    <w:rsid w:val="001B2ECC"/>
    <w:rsid w:val="001B605F"/>
    <w:rsid w:val="001B72CF"/>
    <w:rsid w:val="001B7A54"/>
    <w:rsid w:val="001C1DA9"/>
    <w:rsid w:val="001C28FC"/>
    <w:rsid w:val="001C3E52"/>
    <w:rsid w:val="001C3E5D"/>
    <w:rsid w:val="001C552F"/>
    <w:rsid w:val="001C5C68"/>
    <w:rsid w:val="001C713B"/>
    <w:rsid w:val="001C783C"/>
    <w:rsid w:val="001D06F9"/>
    <w:rsid w:val="001D2E1F"/>
    <w:rsid w:val="001D45F3"/>
    <w:rsid w:val="001D5078"/>
    <w:rsid w:val="001E018A"/>
    <w:rsid w:val="001E047B"/>
    <w:rsid w:val="001E0F83"/>
    <w:rsid w:val="001E22BF"/>
    <w:rsid w:val="001E44C7"/>
    <w:rsid w:val="001E59BE"/>
    <w:rsid w:val="001F3D70"/>
    <w:rsid w:val="001F532D"/>
    <w:rsid w:val="001F6101"/>
    <w:rsid w:val="001F65CA"/>
    <w:rsid w:val="00202894"/>
    <w:rsid w:val="00205BFB"/>
    <w:rsid w:val="0020617B"/>
    <w:rsid w:val="00211643"/>
    <w:rsid w:val="0021174A"/>
    <w:rsid w:val="0021252C"/>
    <w:rsid w:val="002142A9"/>
    <w:rsid w:val="00215026"/>
    <w:rsid w:val="00215EC5"/>
    <w:rsid w:val="00215F00"/>
    <w:rsid w:val="0021621D"/>
    <w:rsid w:val="00216499"/>
    <w:rsid w:val="002230E4"/>
    <w:rsid w:val="002233A3"/>
    <w:rsid w:val="002246F2"/>
    <w:rsid w:val="00227720"/>
    <w:rsid w:val="00230277"/>
    <w:rsid w:val="0023332B"/>
    <w:rsid w:val="00234398"/>
    <w:rsid w:val="00236B0F"/>
    <w:rsid w:val="002376CF"/>
    <w:rsid w:val="002406BF"/>
    <w:rsid w:val="00241D84"/>
    <w:rsid w:val="00242636"/>
    <w:rsid w:val="0024353B"/>
    <w:rsid w:val="002479DA"/>
    <w:rsid w:val="00250183"/>
    <w:rsid w:val="002503F5"/>
    <w:rsid w:val="00251126"/>
    <w:rsid w:val="00251E8E"/>
    <w:rsid w:val="0025498B"/>
    <w:rsid w:val="00255106"/>
    <w:rsid w:val="002558DE"/>
    <w:rsid w:val="00255915"/>
    <w:rsid w:val="00257CC4"/>
    <w:rsid w:val="0026093F"/>
    <w:rsid w:val="00261A3F"/>
    <w:rsid w:val="0026297D"/>
    <w:rsid w:val="00263EF0"/>
    <w:rsid w:val="002645EB"/>
    <w:rsid w:val="00267751"/>
    <w:rsid w:val="00272B46"/>
    <w:rsid w:val="002753D4"/>
    <w:rsid w:val="00275574"/>
    <w:rsid w:val="00276B8E"/>
    <w:rsid w:val="0028299F"/>
    <w:rsid w:val="002841B7"/>
    <w:rsid w:val="0028626A"/>
    <w:rsid w:val="00291537"/>
    <w:rsid w:val="002A5175"/>
    <w:rsid w:val="002A51AF"/>
    <w:rsid w:val="002A5781"/>
    <w:rsid w:val="002A7A10"/>
    <w:rsid w:val="002B4708"/>
    <w:rsid w:val="002B58BC"/>
    <w:rsid w:val="002C1581"/>
    <w:rsid w:val="002C3E99"/>
    <w:rsid w:val="002C5362"/>
    <w:rsid w:val="002C54B1"/>
    <w:rsid w:val="002C5DFF"/>
    <w:rsid w:val="002D449F"/>
    <w:rsid w:val="002D4FB2"/>
    <w:rsid w:val="002D545A"/>
    <w:rsid w:val="002D6EE1"/>
    <w:rsid w:val="002E0953"/>
    <w:rsid w:val="002E3094"/>
    <w:rsid w:val="002E4418"/>
    <w:rsid w:val="002E6C4D"/>
    <w:rsid w:val="002F0372"/>
    <w:rsid w:val="002F0915"/>
    <w:rsid w:val="002F6AB6"/>
    <w:rsid w:val="002F75C5"/>
    <w:rsid w:val="00300BDA"/>
    <w:rsid w:val="00301C2C"/>
    <w:rsid w:val="0030727C"/>
    <w:rsid w:val="00311E08"/>
    <w:rsid w:val="003177B5"/>
    <w:rsid w:val="00320173"/>
    <w:rsid w:val="00320789"/>
    <w:rsid w:val="0032179C"/>
    <w:rsid w:val="003231AF"/>
    <w:rsid w:val="003235C0"/>
    <w:rsid w:val="0032482B"/>
    <w:rsid w:val="00326833"/>
    <w:rsid w:val="00327A20"/>
    <w:rsid w:val="003300C9"/>
    <w:rsid w:val="00334418"/>
    <w:rsid w:val="003358ED"/>
    <w:rsid w:val="003368E0"/>
    <w:rsid w:val="00340BA0"/>
    <w:rsid w:val="003500C7"/>
    <w:rsid w:val="00350966"/>
    <w:rsid w:val="00352028"/>
    <w:rsid w:val="00353739"/>
    <w:rsid w:val="003539B5"/>
    <w:rsid w:val="00354D0D"/>
    <w:rsid w:val="00355291"/>
    <w:rsid w:val="00360855"/>
    <w:rsid w:val="00362B76"/>
    <w:rsid w:val="00362E90"/>
    <w:rsid w:val="00366A22"/>
    <w:rsid w:val="00370C3F"/>
    <w:rsid w:val="00370CD1"/>
    <w:rsid w:val="00372E53"/>
    <w:rsid w:val="00375437"/>
    <w:rsid w:val="003764CE"/>
    <w:rsid w:val="003765A7"/>
    <w:rsid w:val="00382632"/>
    <w:rsid w:val="0038612D"/>
    <w:rsid w:val="00386ED8"/>
    <w:rsid w:val="00391371"/>
    <w:rsid w:val="003918A3"/>
    <w:rsid w:val="003922F6"/>
    <w:rsid w:val="003926C4"/>
    <w:rsid w:val="003946FE"/>
    <w:rsid w:val="003970A0"/>
    <w:rsid w:val="003A0466"/>
    <w:rsid w:val="003A6788"/>
    <w:rsid w:val="003A760E"/>
    <w:rsid w:val="003B5076"/>
    <w:rsid w:val="003C081D"/>
    <w:rsid w:val="003C4209"/>
    <w:rsid w:val="003C4816"/>
    <w:rsid w:val="003D3F3D"/>
    <w:rsid w:val="003D4F29"/>
    <w:rsid w:val="003E0660"/>
    <w:rsid w:val="003E2650"/>
    <w:rsid w:val="003E2BC1"/>
    <w:rsid w:val="003E34C7"/>
    <w:rsid w:val="003E4931"/>
    <w:rsid w:val="003F26AB"/>
    <w:rsid w:val="003F66AF"/>
    <w:rsid w:val="003F6D02"/>
    <w:rsid w:val="00403034"/>
    <w:rsid w:val="00403C1D"/>
    <w:rsid w:val="004040BE"/>
    <w:rsid w:val="00406F7B"/>
    <w:rsid w:val="004110C2"/>
    <w:rsid w:val="0041728A"/>
    <w:rsid w:val="004176B9"/>
    <w:rsid w:val="0042038B"/>
    <w:rsid w:val="00420965"/>
    <w:rsid w:val="00421307"/>
    <w:rsid w:val="00424173"/>
    <w:rsid w:val="00433B6E"/>
    <w:rsid w:val="0043545C"/>
    <w:rsid w:val="0043598A"/>
    <w:rsid w:val="004371C7"/>
    <w:rsid w:val="00437F90"/>
    <w:rsid w:val="00441895"/>
    <w:rsid w:val="004422D1"/>
    <w:rsid w:val="00442BDF"/>
    <w:rsid w:val="00445523"/>
    <w:rsid w:val="004600D8"/>
    <w:rsid w:val="004602F7"/>
    <w:rsid w:val="00460B76"/>
    <w:rsid w:val="0046103B"/>
    <w:rsid w:val="00461167"/>
    <w:rsid w:val="00461297"/>
    <w:rsid w:val="0046145C"/>
    <w:rsid w:val="00462D44"/>
    <w:rsid w:val="00464B16"/>
    <w:rsid w:val="004660EA"/>
    <w:rsid w:val="00466D14"/>
    <w:rsid w:val="004739B7"/>
    <w:rsid w:val="00474822"/>
    <w:rsid w:val="00475EF0"/>
    <w:rsid w:val="00480209"/>
    <w:rsid w:val="00481B80"/>
    <w:rsid w:val="00485371"/>
    <w:rsid w:val="00485F33"/>
    <w:rsid w:val="00491B35"/>
    <w:rsid w:val="00492543"/>
    <w:rsid w:val="004926D6"/>
    <w:rsid w:val="00492916"/>
    <w:rsid w:val="00496754"/>
    <w:rsid w:val="004A0671"/>
    <w:rsid w:val="004A0E1E"/>
    <w:rsid w:val="004A460B"/>
    <w:rsid w:val="004A605D"/>
    <w:rsid w:val="004B078C"/>
    <w:rsid w:val="004B0FA2"/>
    <w:rsid w:val="004B14F4"/>
    <w:rsid w:val="004B3773"/>
    <w:rsid w:val="004B431E"/>
    <w:rsid w:val="004B55B4"/>
    <w:rsid w:val="004B5ADF"/>
    <w:rsid w:val="004C0213"/>
    <w:rsid w:val="004C0A10"/>
    <w:rsid w:val="004C79F2"/>
    <w:rsid w:val="004D071A"/>
    <w:rsid w:val="004D4375"/>
    <w:rsid w:val="004D765F"/>
    <w:rsid w:val="004E343E"/>
    <w:rsid w:val="004E4AD2"/>
    <w:rsid w:val="004E63C4"/>
    <w:rsid w:val="004F12C6"/>
    <w:rsid w:val="004F3739"/>
    <w:rsid w:val="004F37C7"/>
    <w:rsid w:val="004F3DA3"/>
    <w:rsid w:val="004F422A"/>
    <w:rsid w:val="004F50C8"/>
    <w:rsid w:val="004F6D66"/>
    <w:rsid w:val="00500D85"/>
    <w:rsid w:val="00506AA0"/>
    <w:rsid w:val="00506E8C"/>
    <w:rsid w:val="005071A4"/>
    <w:rsid w:val="00511147"/>
    <w:rsid w:val="00523D10"/>
    <w:rsid w:val="00533AF3"/>
    <w:rsid w:val="00533E3A"/>
    <w:rsid w:val="00534048"/>
    <w:rsid w:val="00535DA6"/>
    <w:rsid w:val="0053675A"/>
    <w:rsid w:val="0054089E"/>
    <w:rsid w:val="0054219A"/>
    <w:rsid w:val="00542464"/>
    <w:rsid w:val="0054555B"/>
    <w:rsid w:val="00546A07"/>
    <w:rsid w:val="00551A2B"/>
    <w:rsid w:val="00551CBB"/>
    <w:rsid w:val="00555DF6"/>
    <w:rsid w:val="005563FA"/>
    <w:rsid w:val="00556402"/>
    <w:rsid w:val="00560293"/>
    <w:rsid w:val="005632A0"/>
    <w:rsid w:val="00563843"/>
    <w:rsid w:val="0056462B"/>
    <w:rsid w:val="00570440"/>
    <w:rsid w:val="00570EC7"/>
    <w:rsid w:val="00582ABC"/>
    <w:rsid w:val="00584C14"/>
    <w:rsid w:val="00587D1F"/>
    <w:rsid w:val="005954C0"/>
    <w:rsid w:val="00597794"/>
    <w:rsid w:val="005A312E"/>
    <w:rsid w:val="005A4778"/>
    <w:rsid w:val="005B0675"/>
    <w:rsid w:val="005B2826"/>
    <w:rsid w:val="005B65E2"/>
    <w:rsid w:val="005B6F24"/>
    <w:rsid w:val="005C1C93"/>
    <w:rsid w:val="005C44C4"/>
    <w:rsid w:val="005C595E"/>
    <w:rsid w:val="005C6A27"/>
    <w:rsid w:val="005D083A"/>
    <w:rsid w:val="005D49A0"/>
    <w:rsid w:val="005D6682"/>
    <w:rsid w:val="005E45E7"/>
    <w:rsid w:val="005E5ADD"/>
    <w:rsid w:val="005E7CDB"/>
    <w:rsid w:val="005F2E94"/>
    <w:rsid w:val="005F3DAF"/>
    <w:rsid w:val="005F405B"/>
    <w:rsid w:val="005F66DA"/>
    <w:rsid w:val="005F67BD"/>
    <w:rsid w:val="0060092C"/>
    <w:rsid w:val="00602F4C"/>
    <w:rsid w:val="0060306E"/>
    <w:rsid w:val="00603377"/>
    <w:rsid w:val="00603F3A"/>
    <w:rsid w:val="006051CF"/>
    <w:rsid w:val="00606F22"/>
    <w:rsid w:val="00607BB1"/>
    <w:rsid w:val="006152B5"/>
    <w:rsid w:val="006156A9"/>
    <w:rsid w:val="00623353"/>
    <w:rsid w:val="00633096"/>
    <w:rsid w:val="00633268"/>
    <w:rsid w:val="00637538"/>
    <w:rsid w:val="00640CB0"/>
    <w:rsid w:val="00642532"/>
    <w:rsid w:val="00643067"/>
    <w:rsid w:val="00643612"/>
    <w:rsid w:val="0064471A"/>
    <w:rsid w:val="006450D4"/>
    <w:rsid w:val="00645436"/>
    <w:rsid w:val="00646EA8"/>
    <w:rsid w:val="006510F3"/>
    <w:rsid w:val="00651C45"/>
    <w:rsid w:val="006552F9"/>
    <w:rsid w:val="006578EE"/>
    <w:rsid w:val="00661B60"/>
    <w:rsid w:val="00663922"/>
    <w:rsid w:val="006643EC"/>
    <w:rsid w:val="00664B98"/>
    <w:rsid w:val="00665950"/>
    <w:rsid w:val="00667CBB"/>
    <w:rsid w:val="00675477"/>
    <w:rsid w:val="006773A3"/>
    <w:rsid w:val="00677908"/>
    <w:rsid w:val="006819B3"/>
    <w:rsid w:val="006823F8"/>
    <w:rsid w:val="00682BDB"/>
    <w:rsid w:val="00685E62"/>
    <w:rsid w:val="00692309"/>
    <w:rsid w:val="006946E6"/>
    <w:rsid w:val="00694DBC"/>
    <w:rsid w:val="00695460"/>
    <w:rsid w:val="00696464"/>
    <w:rsid w:val="00697279"/>
    <w:rsid w:val="006A116B"/>
    <w:rsid w:val="006A2D3E"/>
    <w:rsid w:val="006A5123"/>
    <w:rsid w:val="006A6C80"/>
    <w:rsid w:val="006A730A"/>
    <w:rsid w:val="006A7BA0"/>
    <w:rsid w:val="006B0091"/>
    <w:rsid w:val="006B1C6E"/>
    <w:rsid w:val="006B242F"/>
    <w:rsid w:val="006B3561"/>
    <w:rsid w:val="006B3D37"/>
    <w:rsid w:val="006B6655"/>
    <w:rsid w:val="006B6E9C"/>
    <w:rsid w:val="006B78C4"/>
    <w:rsid w:val="006C4387"/>
    <w:rsid w:val="006C7717"/>
    <w:rsid w:val="006C7ED1"/>
    <w:rsid w:val="006D19D1"/>
    <w:rsid w:val="006D2B99"/>
    <w:rsid w:val="006D4731"/>
    <w:rsid w:val="006D4E7D"/>
    <w:rsid w:val="006E5187"/>
    <w:rsid w:val="006E5805"/>
    <w:rsid w:val="006F6204"/>
    <w:rsid w:val="006F7AFD"/>
    <w:rsid w:val="0070052A"/>
    <w:rsid w:val="007045C7"/>
    <w:rsid w:val="00706A0F"/>
    <w:rsid w:val="00707AD1"/>
    <w:rsid w:val="007127FF"/>
    <w:rsid w:val="00715CD2"/>
    <w:rsid w:val="0071758D"/>
    <w:rsid w:val="00723DCB"/>
    <w:rsid w:val="007245AC"/>
    <w:rsid w:val="00725F68"/>
    <w:rsid w:val="00730DD3"/>
    <w:rsid w:val="007337C9"/>
    <w:rsid w:val="007341E4"/>
    <w:rsid w:val="00736624"/>
    <w:rsid w:val="0074100F"/>
    <w:rsid w:val="00742129"/>
    <w:rsid w:val="007424BA"/>
    <w:rsid w:val="00743DA9"/>
    <w:rsid w:val="007475F7"/>
    <w:rsid w:val="0075211C"/>
    <w:rsid w:val="00755A2A"/>
    <w:rsid w:val="00757464"/>
    <w:rsid w:val="00762D5C"/>
    <w:rsid w:val="0076352B"/>
    <w:rsid w:val="007827BF"/>
    <w:rsid w:val="00784E05"/>
    <w:rsid w:val="00786312"/>
    <w:rsid w:val="007868CC"/>
    <w:rsid w:val="00792045"/>
    <w:rsid w:val="0079249A"/>
    <w:rsid w:val="007A3C12"/>
    <w:rsid w:val="007A4274"/>
    <w:rsid w:val="007A5682"/>
    <w:rsid w:val="007A5A26"/>
    <w:rsid w:val="007B0898"/>
    <w:rsid w:val="007B0C64"/>
    <w:rsid w:val="007B3EAA"/>
    <w:rsid w:val="007B6768"/>
    <w:rsid w:val="007B6A70"/>
    <w:rsid w:val="007B711A"/>
    <w:rsid w:val="007B74A4"/>
    <w:rsid w:val="007C1CEE"/>
    <w:rsid w:val="007C6946"/>
    <w:rsid w:val="007D2271"/>
    <w:rsid w:val="007D2BE7"/>
    <w:rsid w:val="007D3854"/>
    <w:rsid w:val="007D425C"/>
    <w:rsid w:val="007D7419"/>
    <w:rsid w:val="007E27EE"/>
    <w:rsid w:val="007E37E3"/>
    <w:rsid w:val="007E4101"/>
    <w:rsid w:val="007E5912"/>
    <w:rsid w:val="007E5C57"/>
    <w:rsid w:val="007E6201"/>
    <w:rsid w:val="007E71DB"/>
    <w:rsid w:val="007E7486"/>
    <w:rsid w:val="007E7BB9"/>
    <w:rsid w:val="007F22A9"/>
    <w:rsid w:val="007F7553"/>
    <w:rsid w:val="00800559"/>
    <w:rsid w:val="00801185"/>
    <w:rsid w:val="00804DFD"/>
    <w:rsid w:val="008060B0"/>
    <w:rsid w:val="00806D41"/>
    <w:rsid w:val="00807F43"/>
    <w:rsid w:val="00810E6F"/>
    <w:rsid w:val="008160A6"/>
    <w:rsid w:val="0082007C"/>
    <w:rsid w:val="00824C80"/>
    <w:rsid w:val="008261AC"/>
    <w:rsid w:val="0082638F"/>
    <w:rsid w:val="00826C9B"/>
    <w:rsid w:val="008330DB"/>
    <w:rsid w:val="008354C3"/>
    <w:rsid w:val="00835F7E"/>
    <w:rsid w:val="00837B90"/>
    <w:rsid w:val="00842659"/>
    <w:rsid w:val="00852A4F"/>
    <w:rsid w:val="008551E1"/>
    <w:rsid w:val="0085699B"/>
    <w:rsid w:val="008576A0"/>
    <w:rsid w:val="00857B2E"/>
    <w:rsid w:val="00862DED"/>
    <w:rsid w:val="00863517"/>
    <w:rsid w:val="00863548"/>
    <w:rsid w:val="008663D2"/>
    <w:rsid w:val="00866CB9"/>
    <w:rsid w:val="00867705"/>
    <w:rsid w:val="00870848"/>
    <w:rsid w:val="008749C6"/>
    <w:rsid w:val="0087565C"/>
    <w:rsid w:val="0087672D"/>
    <w:rsid w:val="00877195"/>
    <w:rsid w:val="008850B7"/>
    <w:rsid w:val="008870A3"/>
    <w:rsid w:val="008921C4"/>
    <w:rsid w:val="00896460"/>
    <w:rsid w:val="008A1A32"/>
    <w:rsid w:val="008B3592"/>
    <w:rsid w:val="008B4BF9"/>
    <w:rsid w:val="008B4DB6"/>
    <w:rsid w:val="008B6659"/>
    <w:rsid w:val="008B7D2C"/>
    <w:rsid w:val="008C55D8"/>
    <w:rsid w:val="008D1466"/>
    <w:rsid w:val="008D2769"/>
    <w:rsid w:val="008D571F"/>
    <w:rsid w:val="008D5D9D"/>
    <w:rsid w:val="008D78C7"/>
    <w:rsid w:val="008F03DC"/>
    <w:rsid w:val="008F2658"/>
    <w:rsid w:val="008F33C5"/>
    <w:rsid w:val="008F36A2"/>
    <w:rsid w:val="008F4904"/>
    <w:rsid w:val="00900718"/>
    <w:rsid w:val="00903B02"/>
    <w:rsid w:val="00910799"/>
    <w:rsid w:val="009123BC"/>
    <w:rsid w:val="00914F2C"/>
    <w:rsid w:val="00915900"/>
    <w:rsid w:val="0091770F"/>
    <w:rsid w:val="009201D9"/>
    <w:rsid w:val="00921853"/>
    <w:rsid w:val="00921B32"/>
    <w:rsid w:val="00921B65"/>
    <w:rsid w:val="00922297"/>
    <w:rsid w:val="009261CA"/>
    <w:rsid w:val="0092624D"/>
    <w:rsid w:val="00927014"/>
    <w:rsid w:val="00930446"/>
    <w:rsid w:val="00932577"/>
    <w:rsid w:val="00935630"/>
    <w:rsid w:val="00936174"/>
    <w:rsid w:val="00941185"/>
    <w:rsid w:val="009418B6"/>
    <w:rsid w:val="00941AAB"/>
    <w:rsid w:val="00942183"/>
    <w:rsid w:val="00942A60"/>
    <w:rsid w:val="0094459F"/>
    <w:rsid w:val="00951952"/>
    <w:rsid w:val="009523E6"/>
    <w:rsid w:val="009527B0"/>
    <w:rsid w:val="009545DB"/>
    <w:rsid w:val="00955C8E"/>
    <w:rsid w:val="00955F34"/>
    <w:rsid w:val="00961A68"/>
    <w:rsid w:val="00961AE3"/>
    <w:rsid w:val="00963367"/>
    <w:rsid w:val="009675F4"/>
    <w:rsid w:val="0097106C"/>
    <w:rsid w:val="0097184F"/>
    <w:rsid w:val="00974AD3"/>
    <w:rsid w:val="00983583"/>
    <w:rsid w:val="009844C0"/>
    <w:rsid w:val="009848E8"/>
    <w:rsid w:val="00986875"/>
    <w:rsid w:val="009929F3"/>
    <w:rsid w:val="00992E2E"/>
    <w:rsid w:val="0099562B"/>
    <w:rsid w:val="00997748"/>
    <w:rsid w:val="009A13CD"/>
    <w:rsid w:val="009A18A6"/>
    <w:rsid w:val="009A3D82"/>
    <w:rsid w:val="009A4128"/>
    <w:rsid w:val="009A7AF0"/>
    <w:rsid w:val="009B0204"/>
    <w:rsid w:val="009C13E3"/>
    <w:rsid w:val="009C1FC5"/>
    <w:rsid w:val="009C4CC6"/>
    <w:rsid w:val="009C76BD"/>
    <w:rsid w:val="009D0F3C"/>
    <w:rsid w:val="009D1D68"/>
    <w:rsid w:val="009D38CA"/>
    <w:rsid w:val="009D4CB2"/>
    <w:rsid w:val="009D5E2F"/>
    <w:rsid w:val="009E0CCC"/>
    <w:rsid w:val="009E3F76"/>
    <w:rsid w:val="009E431A"/>
    <w:rsid w:val="009E4D8F"/>
    <w:rsid w:val="009E6EDE"/>
    <w:rsid w:val="009F2278"/>
    <w:rsid w:val="009F22CB"/>
    <w:rsid w:val="009F6D66"/>
    <w:rsid w:val="00A02CE8"/>
    <w:rsid w:val="00A037B0"/>
    <w:rsid w:val="00A05804"/>
    <w:rsid w:val="00A07155"/>
    <w:rsid w:val="00A07A95"/>
    <w:rsid w:val="00A10754"/>
    <w:rsid w:val="00A11651"/>
    <w:rsid w:val="00A12A5E"/>
    <w:rsid w:val="00A14B16"/>
    <w:rsid w:val="00A176DF"/>
    <w:rsid w:val="00A22131"/>
    <w:rsid w:val="00A23075"/>
    <w:rsid w:val="00A23253"/>
    <w:rsid w:val="00A3255D"/>
    <w:rsid w:val="00A446A9"/>
    <w:rsid w:val="00A46A73"/>
    <w:rsid w:val="00A4779D"/>
    <w:rsid w:val="00A502B7"/>
    <w:rsid w:val="00A512BD"/>
    <w:rsid w:val="00A52FDD"/>
    <w:rsid w:val="00A5415E"/>
    <w:rsid w:val="00A54A12"/>
    <w:rsid w:val="00A55ED3"/>
    <w:rsid w:val="00A566BF"/>
    <w:rsid w:val="00A608BF"/>
    <w:rsid w:val="00A62DB2"/>
    <w:rsid w:val="00A63EE1"/>
    <w:rsid w:val="00A65036"/>
    <w:rsid w:val="00A65D2E"/>
    <w:rsid w:val="00A67CA4"/>
    <w:rsid w:val="00A715C0"/>
    <w:rsid w:val="00A71D73"/>
    <w:rsid w:val="00A740F2"/>
    <w:rsid w:val="00A7567C"/>
    <w:rsid w:val="00A7610A"/>
    <w:rsid w:val="00A77B0C"/>
    <w:rsid w:val="00A80F4C"/>
    <w:rsid w:val="00A81DDB"/>
    <w:rsid w:val="00A82734"/>
    <w:rsid w:val="00A829AF"/>
    <w:rsid w:val="00A82C9A"/>
    <w:rsid w:val="00A83558"/>
    <w:rsid w:val="00A92684"/>
    <w:rsid w:val="00A93EDD"/>
    <w:rsid w:val="00A96328"/>
    <w:rsid w:val="00A97E44"/>
    <w:rsid w:val="00AA1F47"/>
    <w:rsid w:val="00AA42E1"/>
    <w:rsid w:val="00AA6BD4"/>
    <w:rsid w:val="00AA734F"/>
    <w:rsid w:val="00AA749E"/>
    <w:rsid w:val="00AB13DA"/>
    <w:rsid w:val="00AB468E"/>
    <w:rsid w:val="00AB47CB"/>
    <w:rsid w:val="00AB75A0"/>
    <w:rsid w:val="00AC4B74"/>
    <w:rsid w:val="00AC70A6"/>
    <w:rsid w:val="00AD04A0"/>
    <w:rsid w:val="00AD4088"/>
    <w:rsid w:val="00AD6F75"/>
    <w:rsid w:val="00AE2CA8"/>
    <w:rsid w:val="00AE638B"/>
    <w:rsid w:val="00AE688A"/>
    <w:rsid w:val="00AF173C"/>
    <w:rsid w:val="00AF17CD"/>
    <w:rsid w:val="00AF674F"/>
    <w:rsid w:val="00AF7343"/>
    <w:rsid w:val="00B0027F"/>
    <w:rsid w:val="00B017F0"/>
    <w:rsid w:val="00B01862"/>
    <w:rsid w:val="00B02AA2"/>
    <w:rsid w:val="00B03380"/>
    <w:rsid w:val="00B05447"/>
    <w:rsid w:val="00B10715"/>
    <w:rsid w:val="00B1143A"/>
    <w:rsid w:val="00B131F1"/>
    <w:rsid w:val="00B13FDD"/>
    <w:rsid w:val="00B141D7"/>
    <w:rsid w:val="00B17705"/>
    <w:rsid w:val="00B20F72"/>
    <w:rsid w:val="00B24CB2"/>
    <w:rsid w:val="00B26F47"/>
    <w:rsid w:val="00B27685"/>
    <w:rsid w:val="00B3166F"/>
    <w:rsid w:val="00B319E5"/>
    <w:rsid w:val="00B33426"/>
    <w:rsid w:val="00B36E1C"/>
    <w:rsid w:val="00B40555"/>
    <w:rsid w:val="00B4071D"/>
    <w:rsid w:val="00B40733"/>
    <w:rsid w:val="00B4211C"/>
    <w:rsid w:val="00B421EA"/>
    <w:rsid w:val="00B43AAB"/>
    <w:rsid w:val="00B44AF2"/>
    <w:rsid w:val="00B47142"/>
    <w:rsid w:val="00B47E73"/>
    <w:rsid w:val="00B50305"/>
    <w:rsid w:val="00B509E6"/>
    <w:rsid w:val="00B5164E"/>
    <w:rsid w:val="00B52B3E"/>
    <w:rsid w:val="00B54083"/>
    <w:rsid w:val="00B54982"/>
    <w:rsid w:val="00B54C62"/>
    <w:rsid w:val="00B569DA"/>
    <w:rsid w:val="00B569FD"/>
    <w:rsid w:val="00B578B7"/>
    <w:rsid w:val="00B622FB"/>
    <w:rsid w:val="00B6486D"/>
    <w:rsid w:val="00B65B3D"/>
    <w:rsid w:val="00B66DED"/>
    <w:rsid w:val="00B70B86"/>
    <w:rsid w:val="00B71C24"/>
    <w:rsid w:val="00B730CF"/>
    <w:rsid w:val="00B7321C"/>
    <w:rsid w:val="00B737C4"/>
    <w:rsid w:val="00B739A0"/>
    <w:rsid w:val="00B81886"/>
    <w:rsid w:val="00B82074"/>
    <w:rsid w:val="00B8317E"/>
    <w:rsid w:val="00B83481"/>
    <w:rsid w:val="00B83C54"/>
    <w:rsid w:val="00B86576"/>
    <w:rsid w:val="00B95840"/>
    <w:rsid w:val="00B97903"/>
    <w:rsid w:val="00BA0507"/>
    <w:rsid w:val="00BA1588"/>
    <w:rsid w:val="00BA646D"/>
    <w:rsid w:val="00BA6AD9"/>
    <w:rsid w:val="00BA7144"/>
    <w:rsid w:val="00BB161D"/>
    <w:rsid w:val="00BB3DA9"/>
    <w:rsid w:val="00BB4844"/>
    <w:rsid w:val="00BB4E90"/>
    <w:rsid w:val="00BB5C66"/>
    <w:rsid w:val="00BB7097"/>
    <w:rsid w:val="00BB734A"/>
    <w:rsid w:val="00BB7658"/>
    <w:rsid w:val="00BC008F"/>
    <w:rsid w:val="00BC5180"/>
    <w:rsid w:val="00BD15A5"/>
    <w:rsid w:val="00BD4396"/>
    <w:rsid w:val="00BD6C57"/>
    <w:rsid w:val="00BD6FF3"/>
    <w:rsid w:val="00BE4ECF"/>
    <w:rsid w:val="00BF592D"/>
    <w:rsid w:val="00BF6FFB"/>
    <w:rsid w:val="00BF7524"/>
    <w:rsid w:val="00C008E4"/>
    <w:rsid w:val="00C013D2"/>
    <w:rsid w:val="00C0286B"/>
    <w:rsid w:val="00C03A63"/>
    <w:rsid w:val="00C043BB"/>
    <w:rsid w:val="00C07AEB"/>
    <w:rsid w:val="00C10814"/>
    <w:rsid w:val="00C12224"/>
    <w:rsid w:val="00C12452"/>
    <w:rsid w:val="00C1315E"/>
    <w:rsid w:val="00C13529"/>
    <w:rsid w:val="00C16667"/>
    <w:rsid w:val="00C17771"/>
    <w:rsid w:val="00C17974"/>
    <w:rsid w:val="00C21335"/>
    <w:rsid w:val="00C25DAC"/>
    <w:rsid w:val="00C26CFD"/>
    <w:rsid w:val="00C2720A"/>
    <w:rsid w:val="00C30303"/>
    <w:rsid w:val="00C3367F"/>
    <w:rsid w:val="00C34ECA"/>
    <w:rsid w:val="00C37756"/>
    <w:rsid w:val="00C40F4E"/>
    <w:rsid w:val="00C44A98"/>
    <w:rsid w:val="00C470F0"/>
    <w:rsid w:val="00C502BF"/>
    <w:rsid w:val="00C5131F"/>
    <w:rsid w:val="00C54038"/>
    <w:rsid w:val="00C546C1"/>
    <w:rsid w:val="00C5517D"/>
    <w:rsid w:val="00C571C2"/>
    <w:rsid w:val="00C63A5D"/>
    <w:rsid w:val="00C63D2F"/>
    <w:rsid w:val="00C64093"/>
    <w:rsid w:val="00C651CD"/>
    <w:rsid w:val="00C67554"/>
    <w:rsid w:val="00C74384"/>
    <w:rsid w:val="00C751E5"/>
    <w:rsid w:val="00C75259"/>
    <w:rsid w:val="00C76720"/>
    <w:rsid w:val="00C76F05"/>
    <w:rsid w:val="00C80001"/>
    <w:rsid w:val="00C83727"/>
    <w:rsid w:val="00C84BCD"/>
    <w:rsid w:val="00C874A0"/>
    <w:rsid w:val="00C91F0B"/>
    <w:rsid w:val="00C951EB"/>
    <w:rsid w:val="00C953C9"/>
    <w:rsid w:val="00CA36AD"/>
    <w:rsid w:val="00CB0C53"/>
    <w:rsid w:val="00CB76A6"/>
    <w:rsid w:val="00CC1276"/>
    <w:rsid w:val="00CC302A"/>
    <w:rsid w:val="00CC65F4"/>
    <w:rsid w:val="00CC736D"/>
    <w:rsid w:val="00CD61D3"/>
    <w:rsid w:val="00CE2AC8"/>
    <w:rsid w:val="00CE2E4E"/>
    <w:rsid w:val="00CE4B5D"/>
    <w:rsid w:val="00CE6FC3"/>
    <w:rsid w:val="00CF01A8"/>
    <w:rsid w:val="00CF2E5A"/>
    <w:rsid w:val="00CF33EB"/>
    <w:rsid w:val="00CF4998"/>
    <w:rsid w:val="00D0675B"/>
    <w:rsid w:val="00D07511"/>
    <w:rsid w:val="00D13584"/>
    <w:rsid w:val="00D13BC3"/>
    <w:rsid w:val="00D16062"/>
    <w:rsid w:val="00D16B4D"/>
    <w:rsid w:val="00D175A6"/>
    <w:rsid w:val="00D2040D"/>
    <w:rsid w:val="00D204B4"/>
    <w:rsid w:val="00D22CB2"/>
    <w:rsid w:val="00D23829"/>
    <w:rsid w:val="00D23B30"/>
    <w:rsid w:val="00D24916"/>
    <w:rsid w:val="00D25584"/>
    <w:rsid w:val="00D34002"/>
    <w:rsid w:val="00D34C9B"/>
    <w:rsid w:val="00D406D6"/>
    <w:rsid w:val="00D40EE6"/>
    <w:rsid w:val="00D423FD"/>
    <w:rsid w:val="00D4367C"/>
    <w:rsid w:val="00D442F7"/>
    <w:rsid w:val="00D51E61"/>
    <w:rsid w:val="00D54995"/>
    <w:rsid w:val="00D57ABD"/>
    <w:rsid w:val="00D61AE9"/>
    <w:rsid w:val="00D6677A"/>
    <w:rsid w:val="00D676B1"/>
    <w:rsid w:val="00D676D9"/>
    <w:rsid w:val="00D67EE5"/>
    <w:rsid w:val="00D7156C"/>
    <w:rsid w:val="00D719A3"/>
    <w:rsid w:val="00D71CC0"/>
    <w:rsid w:val="00D720F3"/>
    <w:rsid w:val="00D7289C"/>
    <w:rsid w:val="00D7479C"/>
    <w:rsid w:val="00D74D11"/>
    <w:rsid w:val="00D803D5"/>
    <w:rsid w:val="00D83C72"/>
    <w:rsid w:val="00D84DB0"/>
    <w:rsid w:val="00D85291"/>
    <w:rsid w:val="00D86094"/>
    <w:rsid w:val="00D918F5"/>
    <w:rsid w:val="00D91FBD"/>
    <w:rsid w:val="00D9650C"/>
    <w:rsid w:val="00DA015E"/>
    <w:rsid w:val="00DA298A"/>
    <w:rsid w:val="00DA5AA4"/>
    <w:rsid w:val="00DA627A"/>
    <w:rsid w:val="00DA6A23"/>
    <w:rsid w:val="00DB2C81"/>
    <w:rsid w:val="00DB44B0"/>
    <w:rsid w:val="00DB6FAC"/>
    <w:rsid w:val="00DB7504"/>
    <w:rsid w:val="00DC048B"/>
    <w:rsid w:val="00DC2D50"/>
    <w:rsid w:val="00DC4F9F"/>
    <w:rsid w:val="00DC50AA"/>
    <w:rsid w:val="00DD0076"/>
    <w:rsid w:val="00DD05AF"/>
    <w:rsid w:val="00DD1185"/>
    <w:rsid w:val="00DE0204"/>
    <w:rsid w:val="00DE2049"/>
    <w:rsid w:val="00DE2981"/>
    <w:rsid w:val="00DE377F"/>
    <w:rsid w:val="00DE7CF6"/>
    <w:rsid w:val="00DF2A96"/>
    <w:rsid w:val="00DF373F"/>
    <w:rsid w:val="00DF379A"/>
    <w:rsid w:val="00DF3927"/>
    <w:rsid w:val="00DF6C09"/>
    <w:rsid w:val="00DF7ADB"/>
    <w:rsid w:val="00E005B2"/>
    <w:rsid w:val="00E0123A"/>
    <w:rsid w:val="00E105CD"/>
    <w:rsid w:val="00E10C1B"/>
    <w:rsid w:val="00E1163F"/>
    <w:rsid w:val="00E116E5"/>
    <w:rsid w:val="00E135BE"/>
    <w:rsid w:val="00E13B9D"/>
    <w:rsid w:val="00E13C6D"/>
    <w:rsid w:val="00E147CC"/>
    <w:rsid w:val="00E14CE7"/>
    <w:rsid w:val="00E14DB4"/>
    <w:rsid w:val="00E15CB4"/>
    <w:rsid w:val="00E222FB"/>
    <w:rsid w:val="00E23333"/>
    <w:rsid w:val="00E24A15"/>
    <w:rsid w:val="00E26198"/>
    <w:rsid w:val="00E3011E"/>
    <w:rsid w:val="00E314B2"/>
    <w:rsid w:val="00E31F72"/>
    <w:rsid w:val="00E34CE1"/>
    <w:rsid w:val="00E366B2"/>
    <w:rsid w:val="00E437E0"/>
    <w:rsid w:val="00E5130E"/>
    <w:rsid w:val="00E6323E"/>
    <w:rsid w:val="00E66DEC"/>
    <w:rsid w:val="00E677BF"/>
    <w:rsid w:val="00E705D8"/>
    <w:rsid w:val="00E70B79"/>
    <w:rsid w:val="00E73979"/>
    <w:rsid w:val="00E7416B"/>
    <w:rsid w:val="00E80F0C"/>
    <w:rsid w:val="00E87039"/>
    <w:rsid w:val="00E906BC"/>
    <w:rsid w:val="00E91F93"/>
    <w:rsid w:val="00E9346A"/>
    <w:rsid w:val="00E95A78"/>
    <w:rsid w:val="00EA0060"/>
    <w:rsid w:val="00EA503E"/>
    <w:rsid w:val="00EB285D"/>
    <w:rsid w:val="00EB4C5D"/>
    <w:rsid w:val="00EB5545"/>
    <w:rsid w:val="00EB55E6"/>
    <w:rsid w:val="00EC0872"/>
    <w:rsid w:val="00EC19C9"/>
    <w:rsid w:val="00EC5F03"/>
    <w:rsid w:val="00EC7E93"/>
    <w:rsid w:val="00ED0C8F"/>
    <w:rsid w:val="00ED0FCB"/>
    <w:rsid w:val="00ED1FF6"/>
    <w:rsid w:val="00ED7184"/>
    <w:rsid w:val="00EE1E60"/>
    <w:rsid w:val="00EE2504"/>
    <w:rsid w:val="00EE2F02"/>
    <w:rsid w:val="00EE326E"/>
    <w:rsid w:val="00EE390A"/>
    <w:rsid w:val="00EE55B6"/>
    <w:rsid w:val="00EE5B2A"/>
    <w:rsid w:val="00EE7BDE"/>
    <w:rsid w:val="00EF15E1"/>
    <w:rsid w:val="00EF2FF2"/>
    <w:rsid w:val="00EF52C8"/>
    <w:rsid w:val="00F03589"/>
    <w:rsid w:val="00F040C1"/>
    <w:rsid w:val="00F06B0D"/>
    <w:rsid w:val="00F103E6"/>
    <w:rsid w:val="00F1193A"/>
    <w:rsid w:val="00F12ECB"/>
    <w:rsid w:val="00F148B1"/>
    <w:rsid w:val="00F172A0"/>
    <w:rsid w:val="00F17EF2"/>
    <w:rsid w:val="00F20159"/>
    <w:rsid w:val="00F236E6"/>
    <w:rsid w:val="00F245CF"/>
    <w:rsid w:val="00F25327"/>
    <w:rsid w:val="00F3503B"/>
    <w:rsid w:val="00F37FC8"/>
    <w:rsid w:val="00F45E94"/>
    <w:rsid w:val="00F47471"/>
    <w:rsid w:val="00F47CE5"/>
    <w:rsid w:val="00F50D61"/>
    <w:rsid w:val="00F532FD"/>
    <w:rsid w:val="00F54008"/>
    <w:rsid w:val="00F556CD"/>
    <w:rsid w:val="00F55C75"/>
    <w:rsid w:val="00F55EB7"/>
    <w:rsid w:val="00F6008C"/>
    <w:rsid w:val="00F633DC"/>
    <w:rsid w:val="00F65747"/>
    <w:rsid w:val="00F723EB"/>
    <w:rsid w:val="00F730DE"/>
    <w:rsid w:val="00F77EAF"/>
    <w:rsid w:val="00F82929"/>
    <w:rsid w:val="00F86C91"/>
    <w:rsid w:val="00F87475"/>
    <w:rsid w:val="00F91B8E"/>
    <w:rsid w:val="00F92159"/>
    <w:rsid w:val="00F9549F"/>
    <w:rsid w:val="00F959CC"/>
    <w:rsid w:val="00F963E4"/>
    <w:rsid w:val="00F97663"/>
    <w:rsid w:val="00FA114D"/>
    <w:rsid w:val="00FB0AEE"/>
    <w:rsid w:val="00FB17AA"/>
    <w:rsid w:val="00FB282D"/>
    <w:rsid w:val="00FC07D8"/>
    <w:rsid w:val="00FC4B3F"/>
    <w:rsid w:val="00FC5DD0"/>
    <w:rsid w:val="00FC6D9A"/>
    <w:rsid w:val="00FD0E7E"/>
    <w:rsid w:val="00FD2E0D"/>
    <w:rsid w:val="00FD3143"/>
    <w:rsid w:val="00FD6B22"/>
    <w:rsid w:val="00FE3F5D"/>
    <w:rsid w:val="00FE629A"/>
    <w:rsid w:val="00FF0541"/>
    <w:rsid w:val="00FF0E53"/>
    <w:rsid w:val="00FF343D"/>
    <w:rsid w:val="00FF5DFD"/>
    <w:rsid w:val="141B23B3"/>
    <w:rsid w:val="18133ACD"/>
    <w:rsid w:val="2601657C"/>
    <w:rsid w:val="28974CFC"/>
    <w:rsid w:val="30804D49"/>
    <w:rsid w:val="34790137"/>
    <w:rsid w:val="359B4318"/>
    <w:rsid w:val="39363667"/>
    <w:rsid w:val="3FD9A96D"/>
    <w:rsid w:val="480377EE"/>
    <w:rsid w:val="598077CD"/>
    <w:rsid w:val="5CE84AF5"/>
    <w:rsid w:val="62B81998"/>
    <w:rsid w:val="63C416EC"/>
    <w:rsid w:val="6FE9C375"/>
    <w:rsid w:val="73B9B05B"/>
    <w:rsid w:val="749227CE"/>
    <w:rsid w:val="77BFC82A"/>
    <w:rsid w:val="7B242D44"/>
    <w:rsid w:val="7B5B516B"/>
    <w:rsid w:val="7BE44282"/>
    <w:rsid w:val="7E7F1B6F"/>
    <w:rsid w:val="7EA26604"/>
    <w:rsid w:val="7EFE4FAD"/>
    <w:rsid w:val="7FEDAFD1"/>
    <w:rsid w:val="96BE0EB5"/>
    <w:rsid w:val="97FE00F4"/>
    <w:rsid w:val="A76B137D"/>
    <w:rsid w:val="B77DF9BB"/>
    <w:rsid w:val="BEFFE8A5"/>
    <w:rsid w:val="BFB697B4"/>
    <w:rsid w:val="BFF5104A"/>
    <w:rsid w:val="CFFF9D24"/>
    <w:rsid w:val="DB371FF0"/>
    <w:rsid w:val="EFF73546"/>
    <w:rsid w:val="F57D7C88"/>
    <w:rsid w:val="F73716DF"/>
    <w:rsid w:val="FADB3A5E"/>
    <w:rsid w:val="FB5FC61E"/>
    <w:rsid w:val="FDBF3DF0"/>
    <w:rsid w:val="FDFEAFC8"/>
    <w:rsid w:val="FEFAACC1"/>
    <w:rsid w:val="FFFE6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qFormat="1"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37"/>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8"/>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link w:val="39"/>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0"/>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ind w:left="2520" w:leftChars="1200"/>
    </w:pPr>
    <w:rPr>
      <w:rFonts w:asciiTheme="minorHAnsi" w:hAnsiTheme="minorHAnsi" w:eastAsiaTheme="minorEastAsia"/>
      <w:sz w:val="21"/>
    </w:rPr>
  </w:style>
  <w:style w:type="paragraph" w:styleId="7">
    <w:name w:val="Note Heading"/>
    <w:basedOn w:val="1"/>
    <w:next w:val="1"/>
    <w:link w:val="42"/>
    <w:autoRedefine/>
    <w:semiHidden/>
    <w:unhideWhenUsed/>
    <w:qFormat/>
    <w:uiPriority w:val="99"/>
    <w:pPr>
      <w:jc w:val="center"/>
    </w:pPr>
  </w:style>
  <w:style w:type="paragraph" w:styleId="8">
    <w:name w:val="annotation text"/>
    <w:basedOn w:val="1"/>
    <w:link w:val="60"/>
    <w:autoRedefine/>
    <w:semiHidden/>
    <w:unhideWhenUsed/>
    <w:qFormat/>
    <w:uiPriority w:val="99"/>
    <w:pPr>
      <w:jc w:val="left"/>
    </w:pPr>
    <w:rPr>
      <w:rFonts w:ascii="Calibri" w:hAnsi="Calibri" w:cs="Times New Roman"/>
      <w:sz w:val="21"/>
    </w:rPr>
  </w:style>
  <w:style w:type="paragraph" w:styleId="9">
    <w:name w:val="Body Text"/>
    <w:basedOn w:val="1"/>
    <w:next w:val="10"/>
    <w:autoRedefine/>
    <w:qFormat/>
    <w:uiPriority w:val="1"/>
    <w:pPr>
      <w:spacing w:before="157"/>
      <w:ind w:left="600"/>
    </w:pPr>
    <w:rPr>
      <w:rFonts w:ascii="宋体" w:hAnsi="宋体" w:eastAsia="宋体"/>
      <w:sz w:val="24"/>
      <w:szCs w:val="24"/>
    </w:rPr>
  </w:style>
  <w:style w:type="paragraph" w:customStyle="1" w:styleId="10">
    <w:name w:val="style4"/>
    <w:basedOn w:val="1"/>
    <w:next w:val="11"/>
    <w:autoRedefine/>
    <w:qFormat/>
    <w:uiPriority w:val="0"/>
    <w:pPr>
      <w:widowControl/>
      <w:autoSpaceDE/>
      <w:autoSpaceDN/>
      <w:spacing w:before="280" w:after="280" w:line="240" w:lineRule="auto"/>
      <w:ind w:left="0" w:firstLine="0"/>
      <w:jc w:val="both"/>
    </w:pPr>
    <w:rPr>
      <w:rFonts w:ascii="宋体" w:eastAsia="宋体"/>
      <w:sz w:val="18"/>
    </w:rPr>
  </w:style>
  <w:style w:type="paragraph" w:customStyle="1" w:styleId="11">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2">
    <w:name w:val="toc 5"/>
    <w:basedOn w:val="1"/>
    <w:next w:val="1"/>
    <w:autoRedefine/>
    <w:unhideWhenUsed/>
    <w:qFormat/>
    <w:uiPriority w:val="39"/>
    <w:pPr>
      <w:ind w:left="1680" w:leftChars="800"/>
    </w:pPr>
    <w:rPr>
      <w:rFonts w:asciiTheme="minorHAnsi" w:hAnsiTheme="minorHAnsi" w:eastAsiaTheme="minorEastAsia"/>
      <w:sz w:val="21"/>
    </w:rPr>
  </w:style>
  <w:style w:type="paragraph" w:styleId="13">
    <w:name w:val="toc 3"/>
    <w:basedOn w:val="1"/>
    <w:next w:val="1"/>
    <w:autoRedefine/>
    <w:unhideWhenUsed/>
    <w:qFormat/>
    <w:uiPriority w:val="39"/>
    <w:pPr>
      <w:ind w:left="840" w:leftChars="400"/>
    </w:pPr>
  </w:style>
  <w:style w:type="paragraph" w:styleId="14">
    <w:name w:val="toc 8"/>
    <w:basedOn w:val="1"/>
    <w:next w:val="1"/>
    <w:autoRedefine/>
    <w:unhideWhenUsed/>
    <w:qFormat/>
    <w:uiPriority w:val="39"/>
    <w:pPr>
      <w:ind w:left="2940" w:leftChars="1400"/>
    </w:pPr>
    <w:rPr>
      <w:rFonts w:asciiTheme="minorHAnsi" w:hAnsiTheme="minorHAnsi" w:eastAsiaTheme="minorEastAsia"/>
      <w:sz w:val="21"/>
    </w:rPr>
  </w:style>
  <w:style w:type="paragraph" w:styleId="15">
    <w:name w:val="Date"/>
    <w:basedOn w:val="1"/>
    <w:next w:val="1"/>
    <w:link w:val="59"/>
    <w:autoRedefine/>
    <w:semiHidden/>
    <w:unhideWhenUsed/>
    <w:qFormat/>
    <w:uiPriority w:val="99"/>
    <w:pPr>
      <w:ind w:left="100" w:leftChars="2500"/>
    </w:pPr>
  </w:style>
  <w:style w:type="paragraph" w:styleId="16">
    <w:name w:val="endnote text"/>
    <w:basedOn w:val="1"/>
    <w:link w:val="65"/>
    <w:autoRedefine/>
    <w:semiHidden/>
    <w:unhideWhenUsed/>
    <w:qFormat/>
    <w:uiPriority w:val="99"/>
    <w:pPr>
      <w:snapToGrid w:val="0"/>
      <w:jc w:val="left"/>
    </w:pPr>
    <w:rPr>
      <w:rFonts w:ascii="Calibri" w:hAnsi="Calibri" w:cs="Times New Roman"/>
      <w:sz w:val="21"/>
    </w:rPr>
  </w:style>
  <w:style w:type="paragraph" w:styleId="17">
    <w:name w:val="Balloon Text"/>
    <w:basedOn w:val="1"/>
    <w:link w:val="62"/>
    <w:autoRedefine/>
    <w:semiHidden/>
    <w:unhideWhenUsed/>
    <w:qFormat/>
    <w:uiPriority w:val="99"/>
    <w:rPr>
      <w:rFonts w:ascii="Calibri" w:hAnsi="Calibri" w:cs="Times New Roman"/>
      <w:sz w:val="18"/>
      <w:szCs w:val="18"/>
    </w:rPr>
  </w:style>
  <w:style w:type="paragraph" w:styleId="18">
    <w:name w:val="footer"/>
    <w:basedOn w:val="1"/>
    <w:link w:val="54"/>
    <w:autoRedefine/>
    <w:unhideWhenUsed/>
    <w:qFormat/>
    <w:uiPriority w:val="99"/>
    <w:pPr>
      <w:tabs>
        <w:tab w:val="center" w:pos="4153"/>
        <w:tab w:val="right" w:pos="8306"/>
      </w:tabs>
      <w:snapToGrid w:val="0"/>
      <w:jc w:val="left"/>
    </w:pPr>
    <w:rPr>
      <w:sz w:val="18"/>
      <w:szCs w:val="18"/>
    </w:rPr>
  </w:style>
  <w:style w:type="paragraph" w:styleId="19">
    <w:name w:val="header"/>
    <w:basedOn w:val="1"/>
    <w:link w:val="5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style>
  <w:style w:type="paragraph" w:styleId="21">
    <w:name w:val="toc 4"/>
    <w:basedOn w:val="1"/>
    <w:next w:val="1"/>
    <w:autoRedefine/>
    <w:unhideWhenUsed/>
    <w:qFormat/>
    <w:uiPriority w:val="39"/>
    <w:pPr>
      <w:ind w:left="1260" w:leftChars="600"/>
    </w:pPr>
  </w:style>
  <w:style w:type="paragraph" w:styleId="22">
    <w:name w:val="footnote text"/>
    <w:basedOn w:val="1"/>
    <w:link w:val="63"/>
    <w:autoRedefine/>
    <w:semiHidden/>
    <w:unhideWhenUsed/>
    <w:qFormat/>
    <w:uiPriority w:val="99"/>
    <w:pPr>
      <w:snapToGrid w:val="0"/>
      <w:jc w:val="left"/>
    </w:pPr>
    <w:rPr>
      <w:rFonts w:ascii="Calibri" w:hAnsi="Calibri" w:cs="Times New Roman"/>
      <w:sz w:val="18"/>
      <w:szCs w:val="18"/>
    </w:rPr>
  </w:style>
  <w:style w:type="paragraph" w:styleId="23">
    <w:name w:val="toc 6"/>
    <w:basedOn w:val="1"/>
    <w:next w:val="1"/>
    <w:autoRedefine/>
    <w:unhideWhenUsed/>
    <w:qFormat/>
    <w:uiPriority w:val="39"/>
    <w:pPr>
      <w:ind w:left="2100" w:leftChars="1000"/>
    </w:pPr>
    <w:rPr>
      <w:rFonts w:asciiTheme="minorHAnsi" w:hAnsiTheme="minorHAnsi" w:eastAsiaTheme="minorEastAsia"/>
      <w:sz w:val="21"/>
    </w:rPr>
  </w:style>
  <w:style w:type="paragraph" w:styleId="24">
    <w:name w:val="toc 2"/>
    <w:basedOn w:val="1"/>
    <w:next w:val="1"/>
    <w:autoRedefine/>
    <w:unhideWhenUsed/>
    <w:qFormat/>
    <w:uiPriority w:val="39"/>
    <w:pPr>
      <w:ind w:left="420" w:leftChars="200"/>
    </w:pPr>
  </w:style>
  <w:style w:type="paragraph" w:styleId="25">
    <w:name w:val="toc 9"/>
    <w:basedOn w:val="1"/>
    <w:next w:val="1"/>
    <w:autoRedefine/>
    <w:unhideWhenUsed/>
    <w:qFormat/>
    <w:uiPriority w:val="39"/>
    <w:pPr>
      <w:ind w:left="3360" w:leftChars="1600"/>
    </w:pPr>
    <w:rPr>
      <w:rFonts w:asciiTheme="minorHAnsi" w:hAnsiTheme="minorHAnsi" w:eastAsiaTheme="minorEastAsia"/>
      <w:sz w:val="21"/>
    </w:rPr>
  </w:style>
  <w:style w:type="paragraph" w:styleId="26">
    <w:name w:val="Title"/>
    <w:basedOn w:val="1"/>
    <w:next w:val="1"/>
    <w:link w:val="56"/>
    <w:autoRedefine/>
    <w:qFormat/>
    <w:uiPriority w:val="10"/>
    <w:pPr>
      <w:spacing w:before="240" w:after="60"/>
      <w:jc w:val="center"/>
      <w:outlineLvl w:val="0"/>
    </w:pPr>
    <w:rPr>
      <w:rFonts w:asciiTheme="majorHAnsi" w:hAnsiTheme="majorHAnsi" w:cstheme="majorBidi"/>
      <w:b/>
      <w:bCs/>
      <w:sz w:val="32"/>
      <w:szCs w:val="32"/>
    </w:rPr>
  </w:style>
  <w:style w:type="paragraph" w:styleId="27">
    <w:name w:val="annotation subject"/>
    <w:basedOn w:val="8"/>
    <w:next w:val="8"/>
    <w:link w:val="61"/>
    <w:autoRedefine/>
    <w:semiHidden/>
    <w:unhideWhenUsed/>
    <w:qFormat/>
    <w:uiPriority w:val="99"/>
    <w:rPr>
      <w:b/>
      <w:bCs/>
    </w:rPr>
  </w:style>
  <w:style w:type="table" w:styleId="29">
    <w:name w:val="Table Grid"/>
    <w:basedOn w:val="2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endnote reference"/>
    <w:autoRedefine/>
    <w:semiHidden/>
    <w:unhideWhenUsed/>
    <w:qFormat/>
    <w:uiPriority w:val="99"/>
    <w:rPr>
      <w:vertAlign w:val="superscript"/>
    </w:rPr>
  </w:style>
  <w:style w:type="character" w:styleId="32">
    <w:name w:val="page number"/>
    <w:basedOn w:val="30"/>
    <w:autoRedefine/>
    <w:qFormat/>
    <w:uiPriority w:val="0"/>
  </w:style>
  <w:style w:type="character" w:styleId="33">
    <w:name w:val="FollowedHyperlink"/>
    <w:basedOn w:val="30"/>
    <w:autoRedefine/>
    <w:semiHidden/>
    <w:unhideWhenUsed/>
    <w:qFormat/>
    <w:uiPriority w:val="99"/>
    <w:rPr>
      <w:color w:val="954F72" w:themeColor="followedHyperlink"/>
      <w:u w:val="single"/>
      <w14:textFill>
        <w14:solidFill>
          <w14:schemeClr w14:val="folHlink"/>
        </w14:solidFill>
      </w14:textFill>
    </w:rPr>
  </w:style>
  <w:style w:type="character" w:styleId="34">
    <w:name w:val="Hyperlink"/>
    <w:basedOn w:val="30"/>
    <w:autoRedefine/>
    <w:unhideWhenUsed/>
    <w:qFormat/>
    <w:uiPriority w:val="99"/>
    <w:rPr>
      <w:color w:val="0563C1" w:themeColor="hyperlink"/>
      <w:u w:val="single"/>
      <w14:textFill>
        <w14:solidFill>
          <w14:schemeClr w14:val="hlink"/>
        </w14:solidFill>
      </w14:textFill>
    </w:rPr>
  </w:style>
  <w:style w:type="character" w:styleId="35">
    <w:name w:val="annotation reference"/>
    <w:autoRedefine/>
    <w:semiHidden/>
    <w:unhideWhenUsed/>
    <w:qFormat/>
    <w:uiPriority w:val="99"/>
    <w:rPr>
      <w:sz w:val="21"/>
      <w:szCs w:val="21"/>
    </w:rPr>
  </w:style>
  <w:style w:type="character" w:styleId="36">
    <w:name w:val="footnote reference"/>
    <w:autoRedefine/>
    <w:semiHidden/>
    <w:unhideWhenUsed/>
    <w:qFormat/>
    <w:uiPriority w:val="99"/>
    <w:rPr>
      <w:vertAlign w:val="superscript"/>
    </w:rPr>
  </w:style>
  <w:style w:type="character" w:customStyle="1" w:styleId="37">
    <w:name w:val="标题 1 字符"/>
    <w:basedOn w:val="30"/>
    <w:link w:val="2"/>
    <w:autoRedefine/>
    <w:qFormat/>
    <w:uiPriority w:val="9"/>
    <w:rPr>
      <w:b/>
      <w:bCs/>
      <w:kern w:val="44"/>
      <w:sz w:val="44"/>
      <w:szCs w:val="44"/>
    </w:rPr>
  </w:style>
  <w:style w:type="character" w:customStyle="1" w:styleId="38">
    <w:name w:val="标题 2 字符"/>
    <w:basedOn w:val="30"/>
    <w:link w:val="3"/>
    <w:autoRedefine/>
    <w:semiHidden/>
    <w:qFormat/>
    <w:uiPriority w:val="9"/>
    <w:rPr>
      <w:rFonts w:asciiTheme="majorHAnsi" w:hAnsiTheme="majorHAnsi" w:eastAsiaTheme="majorEastAsia" w:cstheme="majorBidi"/>
      <w:b/>
      <w:bCs/>
      <w:sz w:val="32"/>
      <w:szCs w:val="32"/>
    </w:rPr>
  </w:style>
  <w:style w:type="character" w:customStyle="1" w:styleId="39">
    <w:name w:val="标题 3 字符"/>
    <w:basedOn w:val="30"/>
    <w:link w:val="4"/>
    <w:autoRedefine/>
    <w:semiHidden/>
    <w:qFormat/>
    <w:uiPriority w:val="9"/>
    <w:rPr>
      <w:b/>
      <w:bCs/>
      <w:sz w:val="32"/>
      <w:szCs w:val="32"/>
    </w:rPr>
  </w:style>
  <w:style w:type="character" w:customStyle="1" w:styleId="40">
    <w:name w:val="标题 4 字符"/>
    <w:basedOn w:val="30"/>
    <w:link w:val="5"/>
    <w:autoRedefine/>
    <w:semiHidden/>
    <w:qFormat/>
    <w:uiPriority w:val="9"/>
    <w:rPr>
      <w:rFonts w:asciiTheme="majorHAnsi" w:hAnsiTheme="majorHAnsi" w:eastAsiaTheme="majorEastAsia" w:cstheme="majorBidi"/>
      <w:b/>
      <w:bCs/>
      <w:sz w:val="28"/>
      <w:szCs w:val="28"/>
    </w:rPr>
  </w:style>
  <w:style w:type="paragraph" w:customStyle="1" w:styleId="41">
    <w:name w:val="主标题"/>
    <w:basedOn w:val="2"/>
    <w:next w:val="7"/>
    <w:autoRedefine/>
    <w:qFormat/>
    <w:uiPriority w:val="0"/>
    <w:pPr>
      <w:adjustRightInd w:val="0"/>
      <w:spacing w:line="578" w:lineRule="atLeast"/>
      <w:jc w:val="center"/>
      <w:outlineLvl w:val="9"/>
    </w:pPr>
    <w:rPr>
      <w:rFonts w:cs="Times New Roman"/>
    </w:rPr>
  </w:style>
  <w:style w:type="character" w:customStyle="1" w:styleId="42">
    <w:name w:val="注释标题 字符"/>
    <w:basedOn w:val="30"/>
    <w:link w:val="7"/>
    <w:autoRedefine/>
    <w:semiHidden/>
    <w:qFormat/>
    <w:uiPriority w:val="99"/>
  </w:style>
  <w:style w:type="paragraph" w:customStyle="1" w:styleId="43">
    <w:name w:val="论文正文"/>
    <w:basedOn w:val="1"/>
    <w:link w:val="44"/>
    <w:autoRedefine/>
    <w:qFormat/>
    <w:uiPriority w:val="0"/>
    <w:pPr>
      <w:spacing w:line="360" w:lineRule="auto"/>
      <w:ind w:firstLine="200" w:firstLineChars="200"/>
    </w:pPr>
  </w:style>
  <w:style w:type="character" w:customStyle="1" w:styleId="44">
    <w:name w:val="论文正文 Char"/>
    <w:basedOn w:val="30"/>
    <w:link w:val="43"/>
    <w:autoRedefine/>
    <w:qFormat/>
    <w:uiPriority w:val="0"/>
    <w:rPr>
      <w:sz w:val="24"/>
    </w:rPr>
  </w:style>
  <w:style w:type="paragraph" w:customStyle="1" w:styleId="45">
    <w:name w:val="论文标题3"/>
    <w:basedOn w:val="5"/>
    <w:link w:val="46"/>
    <w:autoRedefine/>
    <w:qFormat/>
    <w:uiPriority w:val="0"/>
    <w:pPr>
      <w:spacing w:before="130" w:after="260" w:line="415" w:lineRule="auto"/>
      <w:jc w:val="left"/>
    </w:pPr>
  </w:style>
  <w:style w:type="character" w:customStyle="1" w:styleId="46">
    <w:name w:val="论文标题3 Char"/>
    <w:basedOn w:val="30"/>
    <w:link w:val="45"/>
    <w:autoRedefine/>
    <w:qFormat/>
    <w:uiPriority w:val="0"/>
    <w:rPr>
      <w:rFonts w:asciiTheme="majorHAnsi" w:hAnsiTheme="majorHAnsi" w:eastAsiaTheme="majorEastAsia" w:cstheme="majorBidi"/>
      <w:b/>
      <w:bCs/>
      <w:sz w:val="28"/>
      <w:szCs w:val="28"/>
    </w:rPr>
  </w:style>
  <w:style w:type="paragraph" w:customStyle="1" w:styleId="47">
    <w:name w:val="论文标题2"/>
    <w:basedOn w:val="4"/>
    <w:link w:val="48"/>
    <w:autoRedefine/>
    <w:qFormat/>
    <w:uiPriority w:val="0"/>
    <w:pPr>
      <w:spacing w:before="130" w:after="130" w:line="415" w:lineRule="auto"/>
      <w:jc w:val="left"/>
    </w:pPr>
    <w:rPr>
      <w:sz w:val="24"/>
    </w:rPr>
  </w:style>
  <w:style w:type="character" w:customStyle="1" w:styleId="48">
    <w:name w:val="论文标题2 Char"/>
    <w:basedOn w:val="44"/>
    <w:link w:val="47"/>
    <w:autoRedefine/>
    <w:qFormat/>
    <w:uiPriority w:val="0"/>
    <w:rPr>
      <w:b/>
      <w:bCs/>
      <w:sz w:val="24"/>
      <w:szCs w:val="32"/>
    </w:rPr>
  </w:style>
  <w:style w:type="paragraph" w:customStyle="1" w:styleId="49">
    <w:name w:val="论文标题1"/>
    <w:basedOn w:val="3"/>
    <w:link w:val="50"/>
    <w:autoRedefine/>
    <w:qFormat/>
    <w:uiPriority w:val="0"/>
    <w:pPr>
      <w:spacing w:after="130" w:line="415" w:lineRule="auto"/>
      <w:jc w:val="left"/>
    </w:pPr>
    <w:rPr>
      <w:sz w:val="28"/>
    </w:rPr>
  </w:style>
  <w:style w:type="character" w:customStyle="1" w:styleId="50">
    <w:name w:val="论文标题1 Char"/>
    <w:basedOn w:val="38"/>
    <w:link w:val="49"/>
    <w:autoRedefine/>
    <w:qFormat/>
    <w:uiPriority w:val="0"/>
    <w:rPr>
      <w:rFonts w:asciiTheme="majorHAnsi" w:hAnsiTheme="majorHAnsi" w:eastAsiaTheme="majorEastAsia" w:cstheme="majorBidi"/>
      <w:sz w:val="28"/>
      <w:szCs w:val="32"/>
    </w:rPr>
  </w:style>
  <w:style w:type="paragraph" w:customStyle="1" w:styleId="51">
    <w:name w:val="论文标题"/>
    <w:basedOn w:val="2"/>
    <w:link w:val="52"/>
    <w:autoRedefine/>
    <w:qFormat/>
    <w:uiPriority w:val="0"/>
    <w:pPr>
      <w:spacing w:before="600" w:after="320"/>
      <w:jc w:val="center"/>
    </w:pPr>
    <w:rPr>
      <w:sz w:val="30"/>
    </w:rPr>
  </w:style>
  <w:style w:type="character" w:customStyle="1" w:styleId="52">
    <w:name w:val="论文标题 Char"/>
    <w:basedOn w:val="37"/>
    <w:link w:val="51"/>
    <w:autoRedefine/>
    <w:qFormat/>
    <w:uiPriority w:val="0"/>
    <w:rPr>
      <w:kern w:val="44"/>
      <w:sz w:val="30"/>
      <w:szCs w:val="44"/>
    </w:rPr>
  </w:style>
  <w:style w:type="character" w:customStyle="1" w:styleId="53">
    <w:name w:val="页眉 字符"/>
    <w:basedOn w:val="30"/>
    <w:link w:val="19"/>
    <w:autoRedefine/>
    <w:qFormat/>
    <w:uiPriority w:val="99"/>
    <w:rPr>
      <w:sz w:val="18"/>
      <w:szCs w:val="18"/>
    </w:rPr>
  </w:style>
  <w:style w:type="character" w:customStyle="1" w:styleId="54">
    <w:name w:val="页脚 字符"/>
    <w:basedOn w:val="30"/>
    <w:link w:val="18"/>
    <w:autoRedefine/>
    <w:qFormat/>
    <w:uiPriority w:val="99"/>
    <w:rPr>
      <w:sz w:val="18"/>
      <w:szCs w:val="18"/>
    </w:rPr>
  </w:style>
  <w:style w:type="paragraph" w:customStyle="1" w:styleId="55">
    <w:name w:val="TOC Heading"/>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6">
    <w:name w:val="标题 字符"/>
    <w:basedOn w:val="30"/>
    <w:link w:val="26"/>
    <w:autoRedefine/>
    <w:qFormat/>
    <w:uiPriority w:val="10"/>
    <w:rPr>
      <w:rFonts w:eastAsia="宋体" w:asciiTheme="majorHAnsi" w:hAnsiTheme="majorHAnsi" w:cstheme="majorBidi"/>
      <w:b/>
      <w:bCs/>
      <w:sz w:val="32"/>
      <w:szCs w:val="32"/>
    </w:rPr>
  </w:style>
  <w:style w:type="paragraph" w:styleId="57">
    <w:name w:val="List Paragraph"/>
    <w:basedOn w:val="1"/>
    <w:autoRedefine/>
    <w:qFormat/>
    <w:uiPriority w:val="99"/>
    <w:pPr>
      <w:ind w:firstLine="420" w:firstLineChars="200"/>
    </w:pPr>
  </w:style>
  <w:style w:type="paragraph" w:customStyle="1" w:styleId="58">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59">
    <w:name w:val="日期 字符"/>
    <w:basedOn w:val="30"/>
    <w:link w:val="15"/>
    <w:autoRedefine/>
    <w:semiHidden/>
    <w:qFormat/>
    <w:uiPriority w:val="99"/>
  </w:style>
  <w:style w:type="character" w:customStyle="1" w:styleId="60">
    <w:name w:val="批注文字 字符"/>
    <w:basedOn w:val="30"/>
    <w:link w:val="8"/>
    <w:autoRedefine/>
    <w:semiHidden/>
    <w:qFormat/>
    <w:uiPriority w:val="99"/>
    <w:rPr>
      <w:rFonts w:ascii="Calibri" w:hAnsi="Calibri" w:cs="Times New Roman"/>
      <w:sz w:val="21"/>
    </w:rPr>
  </w:style>
  <w:style w:type="character" w:customStyle="1" w:styleId="61">
    <w:name w:val="批注主题 字符"/>
    <w:basedOn w:val="60"/>
    <w:link w:val="27"/>
    <w:autoRedefine/>
    <w:semiHidden/>
    <w:qFormat/>
    <w:uiPriority w:val="99"/>
    <w:rPr>
      <w:rFonts w:ascii="Calibri" w:hAnsi="Calibri" w:cs="Times New Roman"/>
      <w:b/>
      <w:bCs/>
      <w:sz w:val="21"/>
    </w:rPr>
  </w:style>
  <w:style w:type="character" w:customStyle="1" w:styleId="62">
    <w:name w:val="批注框文本 字符"/>
    <w:basedOn w:val="30"/>
    <w:link w:val="17"/>
    <w:autoRedefine/>
    <w:semiHidden/>
    <w:qFormat/>
    <w:uiPriority w:val="99"/>
    <w:rPr>
      <w:rFonts w:ascii="Calibri" w:hAnsi="Calibri" w:cs="Times New Roman"/>
      <w:sz w:val="18"/>
      <w:szCs w:val="18"/>
    </w:rPr>
  </w:style>
  <w:style w:type="character" w:customStyle="1" w:styleId="63">
    <w:name w:val="脚注文本 字符"/>
    <w:basedOn w:val="30"/>
    <w:link w:val="22"/>
    <w:autoRedefine/>
    <w:semiHidden/>
    <w:qFormat/>
    <w:uiPriority w:val="99"/>
    <w:rPr>
      <w:rFonts w:ascii="Calibri" w:hAnsi="Calibri" w:cs="Times New Roman"/>
      <w:sz w:val="18"/>
      <w:szCs w:val="18"/>
    </w:rPr>
  </w:style>
  <w:style w:type="paragraph" w:customStyle="1" w:styleId="64">
    <w:name w:val="Revision"/>
    <w:autoRedefine/>
    <w:hidden/>
    <w:semiHidden/>
    <w:qFormat/>
    <w:uiPriority w:val="99"/>
    <w:rPr>
      <w:rFonts w:ascii="Calibri" w:hAnsi="Calibri" w:eastAsia="宋体" w:cs="Times New Roman"/>
      <w:kern w:val="2"/>
      <w:sz w:val="21"/>
      <w:szCs w:val="22"/>
      <w:lang w:val="en-US" w:eastAsia="zh-CN" w:bidi="ar-SA"/>
    </w:rPr>
  </w:style>
  <w:style w:type="character" w:customStyle="1" w:styleId="65">
    <w:name w:val="尾注文本 字符"/>
    <w:basedOn w:val="30"/>
    <w:link w:val="16"/>
    <w:autoRedefine/>
    <w:semiHidden/>
    <w:qFormat/>
    <w:uiPriority w:val="99"/>
    <w:rPr>
      <w:rFonts w:ascii="Calibri" w:hAnsi="Calibri" w:cs="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HZAU</Company>
  <Pages>19</Pages>
  <Words>7004</Words>
  <Characters>7125</Characters>
  <Lines>86</Lines>
  <Paragraphs>24</Paragraphs>
  <TotalTime>2</TotalTime>
  <ScaleCrop>false</ScaleCrop>
  <LinksUpToDate>false</LinksUpToDate>
  <CharactersWithSpaces>8059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2023-05-16T17:27:00Z</dcterms:created>
  <dc:creator>Gordon Chen</dc:creator>
  <cp:lastModifiedBy>周敏</cp:lastModifiedBy>
  <cp:lastPrinted>2018-11-02T20:43:00Z</cp:lastPrinted>
  <dcterms:modified xsi:type="dcterms:W3CDTF">2025-03-10T00:28:52Z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9DC1D8F0751040F3AE3C7B16CF2DDC51_13</vt:lpwstr>
  </property>
  <property fmtid="{D5CDD505-2E9C-101B-9397-08002B2CF9AE}" pid="4" name="KSOTemplateDocerSaveRecord">
    <vt:lpwstr>eyJoZGlkIjoiMGY4NjJmOWM4MzFlNzNkMDJkNGQ2NTc2ZTExM2E4OTIiLCJ1c2VySWQiOiIxNjcyMzM2NzY1In0=</vt:lpwstr>
  </property>
</Properties>
</file>