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0"/>
        </w:tabs>
        <w:suppressAutoHyphens/>
        <w:rPr>
          <w:color w:val="000000" w:themeColor="text1"/>
          <w:spacing w:val="-3"/>
          <w:szCs w:val="20"/>
          <w14:textFill>
            <w14:solidFill>
              <w14:schemeClr w14:val="tx1"/>
            </w14:solidFill>
          </w14:textFill>
        </w:rPr>
      </w:pPr>
    </w:p>
    <w:p>
      <w:pPr>
        <w:widowControl/>
        <w:tabs>
          <w:tab w:val="left" w:pos="0"/>
        </w:tabs>
        <w:suppressAutoHyphens/>
        <w:rPr>
          <w:color w:val="000000" w:themeColor="text1"/>
          <w:spacing w:val="-3"/>
          <w:sz w:val="20"/>
          <w:szCs w:val="20"/>
          <w14:textFill>
            <w14:solidFill>
              <w14:schemeClr w14:val="tx1"/>
            </w14:solidFill>
          </w14:textFill>
        </w:rPr>
      </w:pPr>
    </w:p>
    <w:p>
      <w:pPr>
        <w:widowControl/>
        <w:tabs>
          <w:tab w:val="left" w:pos="0"/>
        </w:tabs>
        <w:suppressAutoHyphens/>
        <w:spacing w:line="360" w:lineRule="auto"/>
        <w:rPr>
          <w:color w:val="000000" w:themeColor="text1"/>
          <w:spacing w:val="-3"/>
          <w:sz w:val="20"/>
          <w:szCs w:val="20"/>
          <w:u w:val="single"/>
          <w14:textFill>
            <w14:solidFill>
              <w14:schemeClr w14:val="tx1"/>
            </w14:solidFill>
          </w14:textFill>
        </w:rPr>
      </w:pPr>
    </w:p>
    <w:p>
      <w:pPr>
        <w:widowControl/>
        <w:tabs>
          <w:tab w:val="left" w:pos="0"/>
        </w:tabs>
        <w:suppressAutoHyphens/>
        <w:spacing w:line="360" w:lineRule="auto"/>
        <w:rPr>
          <w:color w:val="000000" w:themeColor="text1"/>
          <w:spacing w:val="-3"/>
          <w:sz w:val="20"/>
          <w:szCs w:val="20"/>
          <w:u w:val="single"/>
          <w14:textFill>
            <w14:solidFill>
              <w14:schemeClr w14:val="tx1"/>
            </w14:solidFill>
          </w14:textFill>
        </w:rPr>
      </w:pPr>
    </w:p>
    <w:p>
      <w:pPr>
        <w:widowControl/>
        <w:tabs>
          <w:tab w:val="left" w:pos="0"/>
        </w:tabs>
        <w:suppressAutoHyphens/>
        <w:spacing w:line="360" w:lineRule="auto"/>
        <w:rPr>
          <w:color w:val="000000" w:themeColor="text1"/>
          <w:spacing w:val="-3"/>
          <w:sz w:val="20"/>
          <w:szCs w:val="20"/>
          <w:u w:val="single"/>
          <w14:textFill>
            <w14:solidFill>
              <w14:schemeClr w14:val="tx1"/>
            </w14:solidFill>
          </w14:textFill>
        </w:rPr>
      </w:pPr>
    </w:p>
    <w:p>
      <w:pPr>
        <w:jc w:val="center"/>
        <w:rPr>
          <w:rFonts w:ascii="楷体" w:hAnsi="楷体" w:eastAsia="楷体"/>
          <w:b/>
          <w:bCs/>
          <w:color w:val="000000" w:themeColor="text1"/>
          <w:sz w:val="72"/>
          <w:szCs w:val="36"/>
          <w14:textFill>
            <w14:solidFill>
              <w14:schemeClr w14:val="tx1"/>
            </w14:solidFill>
          </w14:textFill>
        </w:rPr>
      </w:pPr>
      <w:r>
        <w:rPr>
          <w:rFonts w:hint="eastAsia" w:ascii="楷体" w:hAnsi="楷体" w:eastAsia="楷体"/>
          <w:b/>
          <w:bCs/>
          <w:color w:val="000000" w:themeColor="text1"/>
          <w:sz w:val="72"/>
          <w:szCs w:val="36"/>
          <w14:textFill>
            <w14:solidFill>
              <w14:schemeClr w14:val="tx1"/>
            </w14:solidFill>
          </w14:textFill>
        </w:rPr>
        <w:t>招 标 文 件</w:t>
      </w:r>
    </w:p>
    <w:p>
      <w:pPr>
        <w:jc w:val="center"/>
        <w:rPr>
          <w:rFonts w:ascii="黑体" w:eastAsia="黑体"/>
          <w:b/>
          <w:bCs/>
          <w:color w:val="000000" w:themeColor="text1"/>
          <w:sz w:val="28"/>
          <w:szCs w:val="28"/>
          <w14:textFill>
            <w14:solidFill>
              <w14:schemeClr w14:val="tx1"/>
            </w14:solidFill>
          </w14:textFill>
        </w:rPr>
      </w:pPr>
    </w:p>
    <w:p>
      <w:pPr>
        <w:jc w:val="center"/>
        <w:rPr>
          <w:rFonts w:ascii="黑体" w:eastAsia="黑体"/>
          <w:b/>
          <w:bCs/>
          <w:color w:val="000000" w:themeColor="text1"/>
          <w:sz w:val="36"/>
          <w:szCs w:val="28"/>
          <w14:textFill>
            <w14:solidFill>
              <w14:schemeClr w14:val="tx1"/>
            </w14:solidFill>
          </w14:textFill>
        </w:rPr>
      </w:pPr>
    </w:p>
    <w:p>
      <w:pPr>
        <w:jc w:val="center"/>
        <w:rPr>
          <w:color w:val="000000" w:themeColor="text1"/>
          <w:spacing w:val="-3"/>
          <w:sz w:val="20"/>
          <w:szCs w:val="20"/>
          <w:u w:val="single"/>
          <w14:textFill>
            <w14:solidFill>
              <w14:schemeClr w14:val="tx1"/>
            </w14:solidFill>
          </w14:textFill>
        </w:rPr>
      </w:pPr>
      <w:r>
        <w:rPr>
          <w:rFonts w:hint="eastAsia" w:ascii="楷体" w:hAnsi="楷体" w:eastAsia="楷体"/>
          <w:b/>
          <w:bCs/>
          <w:sz w:val="36"/>
          <w:szCs w:val="36"/>
        </w:rPr>
        <w:t>项目名称：</w:t>
      </w:r>
      <w:r>
        <w:rPr>
          <w:rFonts w:hint="eastAsia" w:ascii="楷体" w:hAnsi="楷体" w:eastAsia="楷体"/>
          <w:b/>
          <w:bCs/>
          <w:sz w:val="36"/>
          <w:szCs w:val="36"/>
          <w:lang w:eastAsia="zh-CN"/>
        </w:rPr>
        <w:t>赣江新区人民医院</w:t>
      </w:r>
      <w:r>
        <w:rPr>
          <w:rFonts w:hint="eastAsia" w:ascii="楷体" w:hAnsi="楷体" w:eastAsia="楷体"/>
          <w:b/>
          <w:bCs/>
          <w:sz w:val="36"/>
          <w:szCs w:val="36"/>
        </w:rPr>
        <w:t>手腕带供应服务采购项目</w:t>
      </w:r>
    </w:p>
    <w:p>
      <w:pPr>
        <w:widowControl/>
        <w:tabs>
          <w:tab w:val="left" w:pos="0"/>
        </w:tabs>
        <w:suppressAutoHyphens/>
        <w:spacing w:line="480" w:lineRule="auto"/>
        <w:rPr>
          <w:color w:val="000000" w:themeColor="text1"/>
          <w:spacing w:val="-3"/>
          <w:sz w:val="20"/>
          <w:szCs w:val="20"/>
          <w:u w:val="single"/>
          <w14:textFill>
            <w14:solidFill>
              <w14:schemeClr w14:val="tx1"/>
            </w14:solidFill>
          </w14:textFill>
        </w:rPr>
      </w:pPr>
    </w:p>
    <w:p>
      <w:pPr>
        <w:widowControl/>
        <w:tabs>
          <w:tab w:val="left" w:pos="0"/>
        </w:tabs>
        <w:suppressAutoHyphens/>
        <w:spacing w:line="480" w:lineRule="auto"/>
        <w:rPr>
          <w:color w:val="000000" w:themeColor="text1"/>
          <w:spacing w:val="-3"/>
          <w:sz w:val="20"/>
          <w:szCs w:val="20"/>
          <w:u w:val="single"/>
          <w14:textFill>
            <w14:solidFill>
              <w14:schemeClr w14:val="tx1"/>
            </w14:solidFill>
          </w14:textFill>
        </w:rPr>
      </w:pPr>
    </w:p>
    <w:p>
      <w:pPr>
        <w:widowControl/>
        <w:tabs>
          <w:tab w:val="left" w:pos="0"/>
        </w:tabs>
        <w:suppressAutoHyphens/>
        <w:spacing w:line="480" w:lineRule="auto"/>
        <w:rPr>
          <w:color w:val="000000" w:themeColor="text1"/>
          <w:spacing w:val="-3"/>
          <w:sz w:val="20"/>
          <w:szCs w:val="20"/>
          <w:u w:val="single"/>
          <w14:textFill>
            <w14:solidFill>
              <w14:schemeClr w14:val="tx1"/>
            </w14:solidFill>
          </w14:textFill>
        </w:rPr>
      </w:pPr>
    </w:p>
    <w:p>
      <w:pPr>
        <w:widowControl/>
        <w:tabs>
          <w:tab w:val="left" w:pos="0"/>
        </w:tabs>
        <w:suppressAutoHyphens/>
        <w:spacing w:line="480" w:lineRule="auto"/>
        <w:rPr>
          <w:color w:val="000000" w:themeColor="text1"/>
          <w:spacing w:val="-3"/>
          <w:sz w:val="20"/>
          <w:szCs w:val="20"/>
          <w:u w:val="single"/>
          <w14:textFill>
            <w14:solidFill>
              <w14:schemeClr w14:val="tx1"/>
            </w14:solidFill>
          </w14:textFill>
        </w:rPr>
      </w:pPr>
    </w:p>
    <w:p>
      <w:pPr>
        <w:widowControl/>
        <w:tabs>
          <w:tab w:val="left" w:pos="0"/>
        </w:tabs>
        <w:suppressAutoHyphens/>
        <w:spacing w:line="480" w:lineRule="auto"/>
        <w:rPr>
          <w:color w:val="000000" w:themeColor="text1"/>
          <w:spacing w:val="-3"/>
          <w:sz w:val="20"/>
          <w:szCs w:val="20"/>
          <w:u w:val="single"/>
          <w14:textFill>
            <w14:solidFill>
              <w14:schemeClr w14:val="tx1"/>
            </w14:solidFill>
          </w14:textFill>
        </w:rPr>
      </w:pPr>
    </w:p>
    <w:p>
      <w:pPr>
        <w:widowControl/>
        <w:tabs>
          <w:tab w:val="left" w:pos="0"/>
        </w:tabs>
        <w:suppressAutoHyphens/>
        <w:spacing w:line="480" w:lineRule="auto"/>
        <w:rPr>
          <w:color w:val="000000" w:themeColor="text1"/>
          <w:spacing w:val="-3"/>
          <w:sz w:val="20"/>
          <w:szCs w:val="20"/>
          <w:u w:val="single"/>
          <w14:textFill>
            <w14:solidFill>
              <w14:schemeClr w14:val="tx1"/>
            </w14:solidFill>
          </w14:textFill>
        </w:rPr>
      </w:pPr>
    </w:p>
    <w:p>
      <w:pPr>
        <w:widowControl/>
        <w:tabs>
          <w:tab w:val="left" w:pos="0"/>
        </w:tabs>
        <w:suppressAutoHyphens/>
        <w:spacing w:line="480" w:lineRule="auto"/>
        <w:rPr>
          <w:color w:val="000000" w:themeColor="text1"/>
          <w:spacing w:val="-3"/>
          <w:sz w:val="20"/>
          <w:szCs w:val="20"/>
          <w:u w:val="single"/>
          <w14:textFill>
            <w14:solidFill>
              <w14:schemeClr w14:val="tx1"/>
            </w14:solidFill>
          </w14:textFill>
        </w:rPr>
      </w:pPr>
    </w:p>
    <w:p>
      <w:pPr>
        <w:widowControl/>
        <w:tabs>
          <w:tab w:val="left" w:pos="0"/>
        </w:tabs>
        <w:suppressAutoHyphens/>
        <w:spacing w:line="480" w:lineRule="auto"/>
        <w:rPr>
          <w:color w:val="000000" w:themeColor="text1"/>
          <w:spacing w:val="-3"/>
          <w:sz w:val="20"/>
          <w:szCs w:val="20"/>
          <w:u w:val="single"/>
          <w14:textFill>
            <w14:solidFill>
              <w14:schemeClr w14:val="tx1"/>
            </w14:solidFill>
          </w14:textFill>
        </w:rPr>
      </w:pPr>
    </w:p>
    <w:p>
      <w:pPr>
        <w:widowControl/>
        <w:tabs>
          <w:tab w:val="left" w:pos="0"/>
        </w:tabs>
        <w:suppressAutoHyphens/>
        <w:spacing w:line="480" w:lineRule="auto"/>
        <w:rPr>
          <w:color w:val="000000" w:themeColor="text1"/>
          <w:spacing w:val="-3"/>
          <w:sz w:val="20"/>
          <w:szCs w:val="20"/>
          <w:u w:val="single"/>
          <w14:textFill>
            <w14:solidFill>
              <w14:schemeClr w14:val="tx1"/>
            </w14:solidFill>
          </w14:textFill>
        </w:rPr>
      </w:pPr>
    </w:p>
    <w:p>
      <w:pPr>
        <w:widowControl/>
        <w:tabs>
          <w:tab w:val="left" w:pos="0"/>
        </w:tabs>
        <w:suppressAutoHyphens/>
        <w:spacing w:line="480" w:lineRule="auto"/>
        <w:rPr>
          <w:color w:val="000000" w:themeColor="text1"/>
          <w:spacing w:val="-3"/>
          <w:sz w:val="20"/>
          <w:szCs w:val="20"/>
          <w:u w:val="single"/>
          <w14:textFill>
            <w14:solidFill>
              <w14:schemeClr w14:val="tx1"/>
            </w14:solidFill>
          </w14:textFill>
        </w:rPr>
      </w:pPr>
    </w:p>
    <w:p>
      <w:pPr>
        <w:widowControl/>
        <w:tabs>
          <w:tab w:val="left" w:pos="0"/>
        </w:tabs>
        <w:suppressAutoHyphens/>
        <w:spacing w:line="480" w:lineRule="auto"/>
        <w:rPr>
          <w:color w:val="000000" w:themeColor="text1"/>
          <w:spacing w:val="-3"/>
          <w:sz w:val="20"/>
          <w:szCs w:val="20"/>
          <w:u w:val="single"/>
          <w14:textFill>
            <w14:solidFill>
              <w14:schemeClr w14:val="tx1"/>
            </w14:solidFill>
          </w14:textFill>
        </w:rPr>
      </w:pPr>
    </w:p>
    <w:p>
      <w:pPr>
        <w:widowControl/>
        <w:tabs>
          <w:tab w:val="left" w:pos="0"/>
        </w:tabs>
        <w:suppressAutoHyphens/>
        <w:spacing w:line="360" w:lineRule="auto"/>
        <w:ind w:firstLine="2826" w:firstLineChars="900"/>
        <w:rPr>
          <w:rFonts w:hint="eastAsia" w:eastAsia="宋体"/>
          <w:b/>
          <w:bCs/>
          <w:color w:val="000000" w:themeColor="text1"/>
          <w:spacing w:val="-3"/>
          <w:sz w:val="32"/>
          <w:szCs w:val="32"/>
          <w:lang w:eastAsia="zh-CN"/>
          <w14:textFill>
            <w14:solidFill>
              <w14:schemeClr w14:val="tx1"/>
            </w14:solidFill>
          </w14:textFill>
        </w:rPr>
      </w:pPr>
      <w:r>
        <w:rPr>
          <w:rFonts w:hint="eastAsia"/>
          <w:b/>
          <w:bCs/>
          <w:color w:val="000000" w:themeColor="text1"/>
          <w:spacing w:val="-3"/>
          <w:sz w:val="32"/>
          <w:szCs w:val="32"/>
          <w:lang w:eastAsia="zh-CN"/>
          <w14:textFill>
            <w14:solidFill>
              <w14:schemeClr w14:val="tx1"/>
            </w14:solidFill>
          </w14:textFill>
        </w:rPr>
        <w:t>赣江新区人民医院</w:t>
      </w:r>
    </w:p>
    <w:p>
      <w:pPr>
        <w:widowControl/>
        <w:tabs>
          <w:tab w:val="left" w:pos="0"/>
        </w:tabs>
        <w:suppressAutoHyphens/>
        <w:spacing w:line="360" w:lineRule="auto"/>
        <w:ind w:firstLine="3454" w:firstLineChars="1100"/>
        <w:rPr>
          <w:rStyle w:val="39"/>
          <w:color w:val="000000" w:themeColor="text1"/>
          <w:spacing w:val="-3"/>
          <w:kern w:val="2"/>
          <w:sz w:val="32"/>
          <w:szCs w:val="32"/>
          <w14:textFill>
            <w14:solidFill>
              <w14:schemeClr w14:val="tx1"/>
            </w14:solidFill>
          </w14:textFill>
        </w:rPr>
      </w:pPr>
      <w:r>
        <w:rPr>
          <w:rFonts w:hint="eastAsia"/>
          <w:b/>
          <w:bCs/>
          <w:color w:val="000000" w:themeColor="text1"/>
          <w:spacing w:val="-3"/>
          <w:sz w:val="32"/>
          <w:szCs w:val="32"/>
          <w:lang w:val="en-US" w:eastAsia="zh-CN"/>
          <w14:textFill>
            <w14:solidFill>
              <w14:schemeClr w14:val="tx1"/>
            </w14:solidFill>
          </w14:textFill>
        </w:rPr>
        <w:t>2023</w:t>
      </w:r>
      <w:r>
        <w:rPr>
          <w:rFonts w:hint="eastAsia"/>
          <w:b/>
          <w:bCs/>
          <w:color w:val="000000" w:themeColor="text1"/>
          <w:spacing w:val="-3"/>
          <w:sz w:val="32"/>
          <w:szCs w:val="32"/>
          <w14:textFill>
            <w14:solidFill>
              <w14:schemeClr w14:val="tx1"/>
            </w14:solidFill>
          </w14:textFill>
        </w:rPr>
        <w:t>年</w:t>
      </w:r>
      <w:r>
        <w:rPr>
          <w:rFonts w:hint="eastAsia"/>
          <w:b/>
          <w:bCs/>
          <w:color w:val="000000" w:themeColor="text1"/>
          <w:spacing w:val="-3"/>
          <w:sz w:val="32"/>
          <w:szCs w:val="32"/>
          <w:lang w:val="en-US" w:eastAsia="zh-CN"/>
          <w14:textFill>
            <w14:solidFill>
              <w14:schemeClr w14:val="tx1"/>
            </w14:solidFill>
          </w14:textFill>
        </w:rPr>
        <w:t>10</w:t>
      </w:r>
      <w:r>
        <w:rPr>
          <w:rFonts w:hint="eastAsia"/>
          <w:b/>
          <w:bCs/>
          <w:color w:val="000000" w:themeColor="text1"/>
          <w:spacing w:val="-3"/>
          <w:sz w:val="32"/>
          <w:szCs w:val="32"/>
          <w14:textFill>
            <w14:solidFill>
              <w14:schemeClr w14:val="tx1"/>
            </w14:solidFill>
          </w14:textFill>
        </w:rPr>
        <w:t>月</w:t>
      </w:r>
      <w:bookmarkStart w:id="0" w:name="_Toc4263570"/>
      <w:bookmarkStart w:id="1" w:name="_Toc524470380"/>
      <w:bookmarkStart w:id="2" w:name="_Toc37841152"/>
      <w:bookmarkStart w:id="3" w:name="_Toc524533976"/>
      <w:bookmarkStart w:id="4" w:name="_Toc365033666"/>
    </w:p>
    <w:p>
      <w:pPr>
        <w:jc w:val="center"/>
        <w:rPr>
          <w:rStyle w:val="39"/>
          <w:rFonts w:hint="eastAsia"/>
          <w:color w:val="000000" w:themeColor="text1"/>
          <w14:textFill>
            <w14:solidFill>
              <w14:schemeClr w14:val="tx1"/>
            </w14:solidFill>
          </w14:textFill>
        </w:rPr>
      </w:pPr>
      <w:bookmarkStart w:id="5" w:name="_Toc37860415"/>
      <w:bookmarkStart w:id="6" w:name="_Toc38014373"/>
      <w:bookmarkStart w:id="7" w:name="_Toc42160927"/>
    </w:p>
    <w:p>
      <w:pPr>
        <w:jc w:val="center"/>
      </w:pPr>
      <w:r>
        <w:rPr>
          <w:rStyle w:val="39"/>
          <w:rFonts w:hint="eastAsia"/>
          <w:color w:val="000000" w:themeColor="text1"/>
          <w14:textFill>
            <w14:solidFill>
              <w14:schemeClr w14:val="tx1"/>
            </w14:solidFill>
          </w14:textFill>
        </w:rPr>
        <w:t>目  录</w:t>
      </w:r>
      <w:bookmarkEnd w:id="0"/>
      <w:bookmarkEnd w:id="1"/>
      <w:bookmarkEnd w:id="2"/>
      <w:bookmarkEnd w:id="3"/>
      <w:bookmarkEnd w:id="4"/>
      <w:bookmarkEnd w:id="5"/>
      <w:bookmarkEnd w:id="6"/>
      <w:bookmarkEnd w:id="7"/>
      <w:r>
        <w:fldChar w:fldCharType="begin"/>
      </w:r>
      <w:r>
        <w:instrText xml:space="preserve"> TOC \o "1-4" \h \z \u </w:instrText>
      </w:r>
      <w:r>
        <w:fldChar w:fldCharType="separate"/>
      </w:r>
    </w:p>
    <w:p>
      <w:r>
        <w:fldChar w:fldCharType="end"/>
      </w:r>
    </w:p>
    <w:sdt>
      <w:sdtPr>
        <w:rPr>
          <w:rFonts w:ascii="Times New Roman" w:hAnsi="Times New Roman" w:eastAsia="宋体" w:cstheme="minorBidi"/>
          <w:color w:val="auto"/>
          <w:kern w:val="2"/>
          <w:sz w:val="24"/>
          <w:szCs w:val="22"/>
          <w:lang w:val="zh-CN"/>
        </w:rPr>
        <w:id w:val="25559302"/>
        <w:docPartObj>
          <w:docPartGallery w:val="Table of Contents"/>
          <w:docPartUnique/>
        </w:docPartObj>
      </w:sdtPr>
      <w:sdtEndPr>
        <w:rPr>
          <w:rFonts w:ascii="Times New Roman" w:hAnsi="Times New Roman" w:eastAsia="宋体" w:cstheme="minorBidi"/>
          <w:color w:val="auto"/>
          <w:kern w:val="2"/>
          <w:sz w:val="24"/>
          <w:szCs w:val="22"/>
          <w:lang w:val="en-US"/>
        </w:rPr>
      </w:sdtEndPr>
      <w:sdtContent>
        <w:p>
          <w:pPr>
            <w:pStyle w:val="57"/>
          </w:pPr>
          <w:r>
            <w:fldChar w:fldCharType="begin"/>
          </w:r>
          <w:r>
            <w:instrText xml:space="preserve"> TOC \o "1-3" \h \z \u </w:instrText>
          </w:r>
          <w:r>
            <w:fldChar w:fldCharType="separate"/>
          </w:r>
          <w:r>
            <w:fldChar w:fldCharType="begin"/>
          </w:r>
          <w:r>
            <w:instrText xml:space="preserve"> HYPERLINK \l "_Toc42160927" </w:instrText>
          </w:r>
          <w:r>
            <w:fldChar w:fldCharType="separate"/>
          </w:r>
          <w:r>
            <w:fldChar w:fldCharType="end"/>
          </w:r>
        </w:p>
        <w:p>
          <w:pPr>
            <w:pStyle w:val="2"/>
            <w:tabs>
              <w:tab w:val="right" w:leader="dot" w:pos="8665"/>
            </w:tabs>
            <w:rPr>
              <w:rFonts w:asciiTheme="minorHAnsi" w:hAnsiTheme="minorHAnsi" w:eastAsiaTheme="minorEastAsia"/>
              <w:sz w:val="21"/>
            </w:rPr>
          </w:pPr>
          <w:r>
            <w:fldChar w:fldCharType="begin"/>
          </w:r>
          <w:r>
            <w:instrText xml:space="preserve"> HYPERLINK \l "_Toc42160928" </w:instrText>
          </w:r>
          <w:r>
            <w:fldChar w:fldCharType="separate"/>
          </w:r>
          <w:r>
            <w:rPr>
              <w:rStyle w:val="36"/>
              <w:rFonts w:hint="eastAsia"/>
            </w:rPr>
            <w:t>第一章</w:t>
          </w:r>
          <w:r>
            <w:rPr>
              <w:rStyle w:val="36"/>
            </w:rPr>
            <w:t xml:space="preserve"> </w:t>
          </w:r>
          <w:r>
            <w:rPr>
              <w:rStyle w:val="36"/>
              <w:rFonts w:hint="eastAsia"/>
            </w:rPr>
            <w:t>投标邀请</w:t>
          </w:r>
          <w:r>
            <w:tab/>
          </w:r>
          <w:r>
            <w:fldChar w:fldCharType="begin"/>
          </w:r>
          <w:r>
            <w:instrText xml:space="preserve"> PAGEREF _Toc42160928 \h </w:instrText>
          </w:r>
          <w:r>
            <w:fldChar w:fldCharType="separate"/>
          </w:r>
          <w:r>
            <w:t>- 1 -</w:t>
          </w:r>
          <w:r>
            <w:fldChar w:fldCharType="end"/>
          </w:r>
          <w:r>
            <w:fldChar w:fldCharType="end"/>
          </w:r>
        </w:p>
        <w:p>
          <w:pPr>
            <w:pStyle w:val="2"/>
            <w:tabs>
              <w:tab w:val="right" w:leader="dot" w:pos="8665"/>
            </w:tabs>
            <w:rPr>
              <w:rFonts w:asciiTheme="minorHAnsi" w:hAnsiTheme="minorHAnsi" w:eastAsiaTheme="minorEastAsia"/>
              <w:sz w:val="21"/>
            </w:rPr>
          </w:pPr>
          <w:r>
            <w:fldChar w:fldCharType="begin"/>
          </w:r>
          <w:r>
            <w:instrText xml:space="preserve"> HYPERLINK \l "_Toc42160929" </w:instrText>
          </w:r>
          <w:r>
            <w:fldChar w:fldCharType="separate"/>
          </w:r>
          <w:r>
            <w:rPr>
              <w:rStyle w:val="36"/>
              <w:rFonts w:hint="eastAsia"/>
            </w:rPr>
            <w:t>第二章</w:t>
          </w:r>
          <w:r>
            <w:rPr>
              <w:rStyle w:val="36"/>
            </w:rPr>
            <w:t xml:space="preserve"> </w:t>
          </w:r>
          <w:r>
            <w:rPr>
              <w:rStyle w:val="36"/>
              <w:rFonts w:hint="eastAsia"/>
            </w:rPr>
            <w:t>投标人须知</w:t>
          </w:r>
          <w:r>
            <w:tab/>
          </w:r>
          <w:r>
            <w:fldChar w:fldCharType="begin"/>
          </w:r>
          <w:r>
            <w:instrText xml:space="preserve"> PAGEREF _Toc42160929 \h </w:instrText>
          </w:r>
          <w:r>
            <w:fldChar w:fldCharType="separate"/>
          </w:r>
          <w:r>
            <w:t>- 4 -</w:t>
          </w:r>
          <w:r>
            <w:fldChar w:fldCharType="end"/>
          </w:r>
          <w:r>
            <w:fldChar w:fldCharType="end"/>
          </w:r>
        </w:p>
        <w:p>
          <w:pPr>
            <w:pStyle w:val="24"/>
            <w:tabs>
              <w:tab w:val="right" w:leader="dot" w:pos="8665"/>
            </w:tabs>
            <w:ind w:left="480"/>
            <w:rPr>
              <w:rFonts w:asciiTheme="minorHAnsi" w:hAnsiTheme="minorHAnsi" w:eastAsiaTheme="minorEastAsia"/>
              <w:sz w:val="21"/>
            </w:rPr>
          </w:pPr>
          <w:r>
            <w:fldChar w:fldCharType="begin"/>
          </w:r>
          <w:r>
            <w:instrText xml:space="preserve"> HYPERLINK \l "_Toc42160930" </w:instrText>
          </w:r>
          <w:r>
            <w:fldChar w:fldCharType="separate"/>
          </w:r>
          <w:r>
            <w:rPr>
              <w:rStyle w:val="36"/>
              <w:rFonts w:hint="eastAsia"/>
            </w:rPr>
            <w:t>一、招</w:t>
          </w:r>
          <w:r>
            <w:rPr>
              <w:rStyle w:val="36"/>
            </w:rPr>
            <w:t xml:space="preserve"> </w:t>
          </w:r>
          <w:r>
            <w:rPr>
              <w:rStyle w:val="36"/>
              <w:rFonts w:hint="eastAsia"/>
            </w:rPr>
            <w:t>标</w:t>
          </w:r>
          <w:r>
            <w:tab/>
          </w:r>
          <w:r>
            <w:fldChar w:fldCharType="begin"/>
          </w:r>
          <w:r>
            <w:instrText xml:space="preserve"> PAGEREF _Toc42160930 \h </w:instrText>
          </w:r>
          <w:r>
            <w:fldChar w:fldCharType="separate"/>
          </w:r>
          <w:r>
            <w:t>- 4 -</w:t>
          </w:r>
          <w:r>
            <w:fldChar w:fldCharType="end"/>
          </w:r>
          <w:r>
            <w:fldChar w:fldCharType="end"/>
          </w:r>
        </w:p>
        <w:p>
          <w:pPr>
            <w:pStyle w:val="13"/>
            <w:tabs>
              <w:tab w:val="right" w:leader="dot" w:pos="8665"/>
            </w:tabs>
            <w:ind w:left="960"/>
            <w:rPr>
              <w:rFonts w:asciiTheme="minorHAnsi" w:hAnsiTheme="minorHAnsi" w:eastAsiaTheme="minorEastAsia"/>
              <w:sz w:val="21"/>
            </w:rPr>
          </w:pPr>
          <w:r>
            <w:fldChar w:fldCharType="begin"/>
          </w:r>
          <w:r>
            <w:instrText xml:space="preserve"> HYPERLINK \l "_Toc42160931" </w:instrText>
          </w:r>
          <w:r>
            <w:fldChar w:fldCharType="separate"/>
          </w:r>
          <w:r>
            <w:rPr>
              <w:rStyle w:val="36"/>
              <w:rFonts w:hint="eastAsia"/>
            </w:rPr>
            <w:t>（一）适用范围</w:t>
          </w:r>
          <w:r>
            <w:tab/>
          </w:r>
          <w:r>
            <w:fldChar w:fldCharType="begin"/>
          </w:r>
          <w:r>
            <w:instrText xml:space="preserve"> PAGEREF _Toc42160931 \h </w:instrText>
          </w:r>
          <w:r>
            <w:fldChar w:fldCharType="separate"/>
          </w:r>
          <w:r>
            <w:t>- 4 -</w:t>
          </w:r>
          <w:r>
            <w:fldChar w:fldCharType="end"/>
          </w:r>
          <w:r>
            <w:fldChar w:fldCharType="end"/>
          </w:r>
        </w:p>
        <w:p>
          <w:pPr>
            <w:pStyle w:val="13"/>
            <w:tabs>
              <w:tab w:val="right" w:leader="dot" w:pos="8665"/>
            </w:tabs>
            <w:ind w:left="960"/>
            <w:rPr>
              <w:rFonts w:asciiTheme="minorHAnsi" w:hAnsiTheme="minorHAnsi" w:eastAsiaTheme="minorEastAsia"/>
              <w:sz w:val="21"/>
            </w:rPr>
          </w:pPr>
          <w:r>
            <w:fldChar w:fldCharType="begin"/>
          </w:r>
          <w:r>
            <w:instrText xml:space="preserve"> HYPERLINK \l "_Toc42160932" </w:instrText>
          </w:r>
          <w:r>
            <w:fldChar w:fldCharType="separate"/>
          </w:r>
          <w:r>
            <w:rPr>
              <w:rStyle w:val="36"/>
              <w:rFonts w:hint="eastAsia"/>
            </w:rPr>
            <w:t>（二）合格投标人</w:t>
          </w:r>
          <w:r>
            <w:tab/>
          </w:r>
          <w:r>
            <w:fldChar w:fldCharType="begin"/>
          </w:r>
          <w:r>
            <w:instrText xml:space="preserve"> PAGEREF _Toc42160932 \h </w:instrText>
          </w:r>
          <w:r>
            <w:fldChar w:fldCharType="separate"/>
          </w:r>
          <w:r>
            <w:t>- 4 -</w:t>
          </w:r>
          <w:r>
            <w:fldChar w:fldCharType="end"/>
          </w:r>
          <w:r>
            <w:fldChar w:fldCharType="end"/>
          </w:r>
        </w:p>
        <w:p>
          <w:pPr>
            <w:pStyle w:val="13"/>
            <w:tabs>
              <w:tab w:val="right" w:leader="dot" w:pos="8665"/>
            </w:tabs>
            <w:ind w:left="960"/>
            <w:rPr>
              <w:rFonts w:asciiTheme="minorHAnsi" w:hAnsiTheme="minorHAnsi" w:eastAsiaTheme="minorEastAsia"/>
              <w:sz w:val="21"/>
            </w:rPr>
          </w:pPr>
          <w:r>
            <w:fldChar w:fldCharType="begin"/>
          </w:r>
          <w:r>
            <w:instrText xml:space="preserve"> HYPERLINK \l "_Toc42160933" </w:instrText>
          </w:r>
          <w:r>
            <w:fldChar w:fldCharType="separate"/>
          </w:r>
          <w:r>
            <w:rPr>
              <w:rStyle w:val="36"/>
              <w:rFonts w:hint="eastAsia"/>
            </w:rPr>
            <w:t>（三）投标费用</w:t>
          </w:r>
          <w:r>
            <w:tab/>
          </w:r>
          <w:r>
            <w:fldChar w:fldCharType="begin"/>
          </w:r>
          <w:r>
            <w:instrText xml:space="preserve"> PAGEREF _Toc42160933 \h </w:instrText>
          </w:r>
          <w:r>
            <w:fldChar w:fldCharType="separate"/>
          </w:r>
          <w:r>
            <w:t>- 4 -</w:t>
          </w:r>
          <w:r>
            <w:fldChar w:fldCharType="end"/>
          </w:r>
          <w:r>
            <w:fldChar w:fldCharType="end"/>
          </w:r>
        </w:p>
        <w:p>
          <w:pPr>
            <w:pStyle w:val="13"/>
            <w:tabs>
              <w:tab w:val="right" w:leader="dot" w:pos="8665"/>
            </w:tabs>
            <w:ind w:left="960"/>
            <w:rPr>
              <w:rFonts w:asciiTheme="minorHAnsi" w:hAnsiTheme="minorHAnsi" w:eastAsiaTheme="minorEastAsia"/>
              <w:sz w:val="21"/>
            </w:rPr>
          </w:pPr>
          <w:r>
            <w:fldChar w:fldCharType="begin"/>
          </w:r>
          <w:r>
            <w:instrText xml:space="preserve"> HYPERLINK \l "_Toc42160934" </w:instrText>
          </w:r>
          <w:r>
            <w:fldChar w:fldCharType="separate"/>
          </w:r>
          <w:r>
            <w:rPr>
              <w:rStyle w:val="36"/>
              <w:rFonts w:hint="eastAsia"/>
            </w:rPr>
            <w:t>（四）投标人代表</w:t>
          </w:r>
          <w:r>
            <w:tab/>
          </w:r>
          <w:r>
            <w:fldChar w:fldCharType="begin"/>
          </w:r>
          <w:r>
            <w:instrText xml:space="preserve"> PAGEREF _Toc42160934 \h </w:instrText>
          </w:r>
          <w:r>
            <w:fldChar w:fldCharType="separate"/>
          </w:r>
          <w:r>
            <w:t>- 4 -</w:t>
          </w:r>
          <w:r>
            <w:fldChar w:fldCharType="end"/>
          </w:r>
          <w:r>
            <w:fldChar w:fldCharType="end"/>
          </w:r>
        </w:p>
        <w:p>
          <w:pPr>
            <w:pStyle w:val="13"/>
            <w:tabs>
              <w:tab w:val="right" w:leader="dot" w:pos="8665"/>
            </w:tabs>
            <w:ind w:left="960"/>
            <w:rPr>
              <w:rFonts w:asciiTheme="minorHAnsi" w:hAnsiTheme="minorHAnsi" w:eastAsiaTheme="minorEastAsia"/>
              <w:sz w:val="21"/>
            </w:rPr>
          </w:pPr>
          <w:r>
            <w:fldChar w:fldCharType="begin"/>
          </w:r>
          <w:r>
            <w:instrText xml:space="preserve"> HYPERLINK \l "_Toc42160935" </w:instrText>
          </w:r>
          <w:r>
            <w:fldChar w:fldCharType="separate"/>
          </w:r>
          <w:r>
            <w:rPr>
              <w:rStyle w:val="36"/>
              <w:rFonts w:hint="eastAsia"/>
            </w:rPr>
            <w:t>（五）招标文件的构成</w:t>
          </w:r>
          <w:r>
            <w:tab/>
          </w:r>
          <w:r>
            <w:fldChar w:fldCharType="begin"/>
          </w:r>
          <w:r>
            <w:instrText xml:space="preserve"> PAGEREF _Toc42160935 \h </w:instrText>
          </w:r>
          <w:r>
            <w:fldChar w:fldCharType="separate"/>
          </w:r>
          <w:r>
            <w:t>- 4 -</w:t>
          </w:r>
          <w:r>
            <w:fldChar w:fldCharType="end"/>
          </w:r>
          <w:r>
            <w:fldChar w:fldCharType="end"/>
          </w:r>
        </w:p>
        <w:p>
          <w:pPr>
            <w:pStyle w:val="13"/>
            <w:tabs>
              <w:tab w:val="right" w:leader="dot" w:pos="8665"/>
            </w:tabs>
            <w:ind w:left="960"/>
            <w:rPr>
              <w:rFonts w:asciiTheme="minorHAnsi" w:hAnsiTheme="minorHAnsi" w:eastAsiaTheme="minorEastAsia"/>
              <w:sz w:val="21"/>
            </w:rPr>
          </w:pPr>
          <w:r>
            <w:fldChar w:fldCharType="begin"/>
          </w:r>
          <w:r>
            <w:instrText xml:space="preserve"> HYPERLINK \l "_Toc42160936" </w:instrText>
          </w:r>
          <w:r>
            <w:fldChar w:fldCharType="separate"/>
          </w:r>
          <w:r>
            <w:rPr>
              <w:rStyle w:val="36"/>
              <w:rFonts w:hint="eastAsia"/>
            </w:rPr>
            <w:t>（六）投标人应当提交的资格、资信证明文件的要求</w:t>
          </w:r>
          <w:r>
            <w:tab/>
          </w:r>
          <w:r>
            <w:fldChar w:fldCharType="begin"/>
          </w:r>
          <w:r>
            <w:instrText xml:space="preserve"> PAGEREF _Toc42160936 \h </w:instrText>
          </w:r>
          <w:r>
            <w:fldChar w:fldCharType="separate"/>
          </w:r>
          <w:r>
            <w:t>- 5 -</w:t>
          </w:r>
          <w:r>
            <w:fldChar w:fldCharType="end"/>
          </w:r>
          <w:r>
            <w:fldChar w:fldCharType="end"/>
          </w:r>
        </w:p>
        <w:p>
          <w:pPr>
            <w:pStyle w:val="24"/>
            <w:tabs>
              <w:tab w:val="right" w:leader="dot" w:pos="8665"/>
            </w:tabs>
            <w:ind w:left="480"/>
            <w:rPr>
              <w:rFonts w:asciiTheme="minorHAnsi" w:hAnsiTheme="minorHAnsi" w:eastAsiaTheme="minorEastAsia"/>
              <w:sz w:val="21"/>
            </w:rPr>
          </w:pPr>
          <w:r>
            <w:fldChar w:fldCharType="begin"/>
          </w:r>
          <w:r>
            <w:instrText xml:space="preserve"> HYPERLINK \l "_Toc42160937" </w:instrText>
          </w:r>
          <w:r>
            <w:fldChar w:fldCharType="separate"/>
          </w:r>
          <w:r>
            <w:rPr>
              <w:rStyle w:val="36"/>
              <w:rFonts w:hint="eastAsia"/>
            </w:rPr>
            <w:t>二、投</w:t>
          </w:r>
          <w:r>
            <w:rPr>
              <w:rStyle w:val="36"/>
            </w:rPr>
            <w:t xml:space="preserve"> </w:t>
          </w:r>
          <w:r>
            <w:rPr>
              <w:rStyle w:val="36"/>
              <w:rFonts w:hint="eastAsia"/>
            </w:rPr>
            <w:t>标</w:t>
          </w:r>
          <w:r>
            <w:tab/>
          </w:r>
          <w:r>
            <w:fldChar w:fldCharType="begin"/>
          </w:r>
          <w:r>
            <w:instrText xml:space="preserve"> PAGEREF _Toc42160937 \h </w:instrText>
          </w:r>
          <w:r>
            <w:fldChar w:fldCharType="separate"/>
          </w:r>
          <w:r>
            <w:t>- 5 -</w:t>
          </w:r>
          <w:r>
            <w:fldChar w:fldCharType="end"/>
          </w:r>
          <w:r>
            <w:fldChar w:fldCharType="end"/>
          </w:r>
        </w:p>
        <w:p>
          <w:pPr>
            <w:pStyle w:val="13"/>
            <w:tabs>
              <w:tab w:val="right" w:leader="dot" w:pos="8665"/>
            </w:tabs>
            <w:ind w:left="960"/>
            <w:rPr>
              <w:rFonts w:asciiTheme="minorHAnsi" w:hAnsiTheme="minorHAnsi" w:eastAsiaTheme="minorEastAsia"/>
              <w:sz w:val="21"/>
            </w:rPr>
          </w:pPr>
          <w:r>
            <w:fldChar w:fldCharType="begin"/>
          </w:r>
          <w:r>
            <w:instrText xml:space="preserve"> HYPERLINK \l "_Toc42160938" </w:instrText>
          </w:r>
          <w:r>
            <w:fldChar w:fldCharType="separate"/>
          </w:r>
          <w:r>
            <w:rPr>
              <w:rStyle w:val="36"/>
              <w:rFonts w:hint="eastAsia"/>
            </w:rPr>
            <w:t>（一）投标文件的编制</w:t>
          </w:r>
          <w:r>
            <w:tab/>
          </w:r>
          <w:r>
            <w:fldChar w:fldCharType="begin"/>
          </w:r>
          <w:r>
            <w:instrText xml:space="preserve"> PAGEREF _Toc42160938 \h </w:instrText>
          </w:r>
          <w:r>
            <w:fldChar w:fldCharType="separate"/>
          </w:r>
          <w:r>
            <w:t>- 5 -</w:t>
          </w:r>
          <w:r>
            <w:fldChar w:fldCharType="end"/>
          </w:r>
          <w:r>
            <w:fldChar w:fldCharType="end"/>
          </w:r>
        </w:p>
        <w:p>
          <w:pPr>
            <w:pStyle w:val="13"/>
            <w:tabs>
              <w:tab w:val="right" w:leader="dot" w:pos="8665"/>
            </w:tabs>
            <w:ind w:left="960"/>
            <w:rPr>
              <w:rFonts w:asciiTheme="minorHAnsi" w:hAnsiTheme="minorHAnsi" w:eastAsiaTheme="minorEastAsia"/>
              <w:sz w:val="21"/>
            </w:rPr>
          </w:pPr>
          <w:r>
            <w:fldChar w:fldCharType="begin"/>
          </w:r>
          <w:r>
            <w:instrText xml:space="preserve"> HYPERLINK \l "_Toc42160939" </w:instrText>
          </w:r>
          <w:r>
            <w:fldChar w:fldCharType="separate"/>
          </w:r>
          <w:r>
            <w:rPr>
              <w:rStyle w:val="36"/>
              <w:rFonts w:hint="eastAsia"/>
            </w:rPr>
            <w:t>（二）投标文件计量单位</w:t>
          </w:r>
          <w:r>
            <w:tab/>
          </w:r>
          <w:r>
            <w:fldChar w:fldCharType="begin"/>
          </w:r>
          <w:r>
            <w:instrText xml:space="preserve"> PAGEREF _Toc42160939 \h </w:instrText>
          </w:r>
          <w:r>
            <w:fldChar w:fldCharType="separate"/>
          </w:r>
          <w:r>
            <w:t>- 5 -</w:t>
          </w:r>
          <w:r>
            <w:fldChar w:fldCharType="end"/>
          </w:r>
          <w:r>
            <w:fldChar w:fldCharType="end"/>
          </w:r>
        </w:p>
        <w:p>
          <w:pPr>
            <w:pStyle w:val="13"/>
            <w:tabs>
              <w:tab w:val="right" w:leader="dot" w:pos="8665"/>
            </w:tabs>
            <w:ind w:left="960"/>
            <w:rPr>
              <w:rFonts w:asciiTheme="minorHAnsi" w:hAnsiTheme="minorHAnsi" w:eastAsiaTheme="minorEastAsia"/>
              <w:sz w:val="21"/>
            </w:rPr>
          </w:pPr>
          <w:r>
            <w:fldChar w:fldCharType="begin"/>
          </w:r>
          <w:r>
            <w:instrText xml:space="preserve"> HYPERLINK \l "_Toc42160940" </w:instrText>
          </w:r>
          <w:r>
            <w:fldChar w:fldCharType="separate"/>
          </w:r>
          <w:r>
            <w:rPr>
              <w:rStyle w:val="36"/>
              <w:rFonts w:hint="eastAsia"/>
            </w:rPr>
            <w:t>（三）投标文件的构成</w:t>
          </w:r>
          <w:r>
            <w:tab/>
          </w:r>
          <w:r>
            <w:fldChar w:fldCharType="begin"/>
          </w:r>
          <w:r>
            <w:instrText xml:space="preserve"> PAGEREF _Toc42160940 \h </w:instrText>
          </w:r>
          <w:r>
            <w:fldChar w:fldCharType="separate"/>
          </w:r>
          <w:r>
            <w:t>- 5 -</w:t>
          </w:r>
          <w:r>
            <w:fldChar w:fldCharType="end"/>
          </w:r>
          <w:r>
            <w:fldChar w:fldCharType="end"/>
          </w:r>
        </w:p>
        <w:p>
          <w:pPr>
            <w:pStyle w:val="13"/>
            <w:tabs>
              <w:tab w:val="right" w:leader="dot" w:pos="8665"/>
            </w:tabs>
            <w:ind w:left="960"/>
            <w:rPr>
              <w:rFonts w:asciiTheme="minorHAnsi" w:hAnsiTheme="minorHAnsi" w:eastAsiaTheme="minorEastAsia"/>
              <w:sz w:val="21"/>
            </w:rPr>
          </w:pPr>
          <w:r>
            <w:fldChar w:fldCharType="begin"/>
          </w:r>
          <w:r>
            <w:instrText xml:space="preserve"> HYPERLINK \l "_Toc42160941" </w:instrText>
          </w:r>
          <w:r>
            <w:fldChar w:fldCharType="separate"/>
          </w:r>
          <w:r>
            <w:rPr>
              <w:rStyle w:val="36"/>
              <w:rFonts w:hint="eastAsia"/>
            </w:rPr>
            <w:t>（四）投标报价</w:t>
          </w:r>
          <w:r>
            <w:tab/>
          </w:r>
          <w:r>
            <w:fldChar w:fldCharType="begin"/>
          </w:r>
          <w:r>
            <w:instrText xml:space="preserve"> PAGEREF _Toc42160941 \h </w:instrText>
          </w:r>
          <w:r>
            <w:fldChar w:fldCharType="separate"/>
          </w:r>
          <w:r>
            <w:t>- 6 -</w:t>
          </w:r>
          <w:r>
            <w:fldChar w:fldCharType="end"/>
          </w:r>
          <w:r>
            <w:fldChar w:fldCharType="end"/>
          </w:r>
        </w:p>
        <w:p>
          <w:pPr>
            <w:pStyle w:val="13"/>
            <w:tabs>
              <w:tab w:val="right" w:leader="dot" w:pos="8665"/>
            </w:tabs>
            <w:ind w:left="960"/>
            <w:rPr>
              <w:rFonts w:asciiTheme="minorHAnsi" w:hAnsiTheme="minorHAnsi" w:eastAsiaTheme="minorEastAsia"/>
              <w:sz w:val="21"/>
            </w:rPr>
          </w:pPr>
          <w:r>
            <w:fldChar w:fldCharType="begin"/>
          </w:r>
          <w:r>
            <w:instrText xml:space="preserve"> HYPERLINK \l "_Toc42160942" </w:instrText>
          </w:r>
          <w:r>
            <w:fldChar w:fldCharType="separate"/>
          </w:r>
          <w:r>
            <w:rPr>
              <w:rStyle w:val="36"/>
              <w:rFonts w:hint="eastAsia"/>
            </w:rPr>
            <w:t>（五）分包的规定</w:t>
          </w:r>
          <w:r>
            <w:tab/>
          </w:r>
          <w:r>
            <w:fldChar w:fldCharType="begin"/>
          </w:r>
          <w:r>
            <w:instrText xml:space="preserve"> PAGEREF _Toc42160942 \h </w:instrText>
          </w:r>
          <w:r>
            <w:fldChar w:fldCharType="separate"/>
          </w:r>
          <w:r>
            <w:t>- 6 -</w:t>
          </w:r>
          <w:r>
            <w:fldChar w:fldCharType="end"/>
          </w:r>
          <w:r>
            <w:fldChar w:fldCharType="end"/>
          </w:r>
        </w:p>
        <w:p>
          <w:pPr>
            <w:pStyle w:val="13"/>
            <w:tabs>
              <w:tab w:val="right" w:leader="dot" w:pos="8665"/>
            </w:tabs>
            <w:ind w:left="960"/>
            <w:rPr>
              <w:rFonts w:asciiTheme="minorHAnsi" w:hAnsiTheme="minorHAnsi" w:eastAsiaTheme="minorEastAsia"/>
              <w:sz w:val="21"/>
            </w:rPr>
          </w:pPr>
          <w:r>
            <w:fldChar w:fldCharType="begin"/>
          </w:r>
          <w:r>
            <w:instrText xml:space="preserve"> HYPERLINK \l "_Toc42160943" </w:instrText>
          </w:r>
          <w:r>
            <w:fldChar w:fldCharType="separate"/>
          </w:r>
          <w:r>
            <w:rPr>
              <w:rStyle w:val="36"/>
              <w:rFonts w:hint="eastAsia"/>
            </w:rPr>
            <w:t>（六）恶意串通等行为的处理及串通投标情形的认定</w:t>
          </w:r>
          <w:r>
            <w:tab/>
          </w:r>
          <w:r>
            <w:fldChar w:fldCharType="begin"/>
          </w:r>
          <w:r>
            <w:instrText xml:space="preserve"> PAGEREF _Toc42160943 \h </w:instrText>
          </w:r>
          <w:r>
            <w:fldChar w:fldCharType="separate"/>
          </w:r>
          <w:r>
            <w:t>- 6 -</w:t>
          </w:r>
          <w:r>
            <w:fldChar w:fldCharType="end"/>
          </w:r>
          <w:r>
            <w:fldChar w:fldCharType="end"/>
          </w:r>
        </w:p>
        <w:p>
          <w:pPr>
            <w:pStyle w:val="13"/>
            <w:tabs>
              <w:tab w:val="right" w:leader="dot" w:pos="8665"/>
            </w:tabs>
            <w:ind w:left="960"/>
            <w:rPr>
              <w:rFonts w:asciiTheme="minorHAnsi" w:hAnsiTheme="minorHAnsi" w:eastAsiaTheme="minorEastAsia"/>
              <w:sz w:val="21"/>
            </w:rPr>
          </w:pPr>
          <w:r>
            <w:fldChar w:fldCharType="begin"/>
          </w:r>
          <w:r>
            <w:instrText xml:space="preserve"> HYPERLINK \l "_Toc42160944" </w:instrText>
          </w:r>
          <w:r>
            <w:fldChar w:fldCharType="separate"/>
          </w:r>
          <w:r>
            <w:rPr>
              <w:rStyle w:val="36"/>
              <w:rFonts w:hint="eastAsia"/>
            </w:rPr>
            <w:t>（七）投标无效</w:t>
          </w:r>
          <w:r>
            <w:tab/>
          </w:r>
          <w:r>
            <w:fldChar w:fldCharType="begin"/>
          </w:r>
          <w:r>
            <w:instrText xml:space="preserve"> PAGEREF _Toc42160944 \h </w:instrText>
          </w:r>
          <w:r>
            <w:fldChar w:fldCharType="separate"/>
          </w:r>
          <w:r>
            <w:t>- 7 -</w:t>
          </w:r>
          <w:r>
            <w:fldChar w:fldCharType="end"/>
          </w:r>
          <w:r>
            <w:fldChar w:fldCharType="end"/>
          </w:r>
        </w:p>
        <w:p>
          <w:pPr>
            <w:pStyle w:val="24"/>
            <w:tabs>
              <w:tab w:val="right" w:leader="dot" w:pos="8665"/>
            </w:tabs>
            <w:ind w:left="480"/>
            <w:rPr>
              <w:rFonts w:asciiTheme="minorHAnsi" w:hAnsiTheme="minorHAnsi" w:eastAsiaTheme="minorEastAsia"/>
              <w:sz w:val="21"/>
            </w:rPr>
          </w:pPr>
          <w:r>
            <w:fldChar w:fldCharType="begin"/>
          </w:r>
          <w:r>
            <w:instrText xml:space="preserve"> HYPERLINK \l "_Toc42160945" </w:instrText>
          </w:r>
          <w:r>
            <w:fldChar w:fldCharType="separate"/>
          </w:r>
          <w:r>
            <w:rPr>
              <w:rStyle w:val="36"/>
              <w:rFonts w:hint="eastAsia"/>
            </w:rPr>
            <w:t>三、中标与合同</w:t>
          </w:r>
          <w:r>
            <w:tab/>
          </w:r>
          <w:r>
            <w:fldChar w:fldCharType="begin"/>
          </w:r>
          <w:r>
            <w:instrText xml:space="preserve"> PAGEREF _Toc42160945 \h </w:instrText>
          </w:r>
          <w:r>
            <w:fldChar w:fldCharType="separate"/>
          </w:r>
          <w:r>
            <w:t>- 7 -</w:t>
          </w:r>
          <w:r>
            <w:fldChar w:fldCharType="end"/>
          </w:r>
          <w:r>
            <w:fldChar w:fldCharType="end"/>
          </w:r>
        </w:p>
        <w:p>
          <w:pPr>
            <w:pStyle w:val="24"/>
            <w:tabs>
              <w:tab w:val="right" w:leader="dot" w:pos="8665"/>
            </w:tabs>
            <w:ind w:left="480"/>
            <w:rPr>
              <w:rFonts w:asciiTheme="minorHAnsi" w:hAnsiTheme="minorHAnsi" w:eastAsiaTheme="minorEastAsia"/>
              <w:sz w:val="21"/>
            </w:rPr>
          </w:pPr>
          <w:r>
            <w:fldChar w:fldCharType="begin"/>
          </w:r>
          <w:r>
            <w:instrText xml:space="preserve"> HYPERLINK \l "_Toc42160946" </w:instrText>
          </w:r>
          <w:r>
            <w:fldChar w:fldCharType="separate"/>
          </w:r>
          <w:r>
            <w:rPr>
              <w:rStyle w:val="36"/>
              <w:rFonts w:hint="eastAsia"/>
            </w:rPr>
            <w:t>四、其他事项</w:t>
          </w:r>
          <w:r>
            <w:tab/>
          </w:r>
          <w:r>
            <w:fldChar w:fldCharType="begin"/>
          </w:r>
          <w:r>
            <w:instrText xml:space="preserve"> PAGEREF _Toc42160946 \h </w:instrText>
          </w:r>
          <w:r>
            <w:fldChar w:fldCharType="separate"/>
          </w:r>
          <w:r>
            <w:t>- 8 -</w:t>
          </w:r>
          <w:r>
            <w:fldChar w:fldCharType="end"/>
          </w:r>
          <w:r>
            <w:fldChar w:fldCharType="end"/>
          </w:r>
        </w:p>
        <w:p>
          <w:pPr>
            <w:pStyle w:val="2"/>
            <w:tabs>
              <w:tab w:val="right" w:leader="dot" w:pos="8665"/>
            </w:tabs>
            <w:rPr>
              <w:rFonts w:asciiTheme="minorHAnsi" w:hAnsiTheme="minorHAnsi" w:eastAsiaTheme="minorEastAsia"/>
              <w:sz w:val="21"/>
            </w:rPr>
          </w:pPr>
          <w:r>
            <w:fldChar w:fldCharType="begin"/>
          </w:r>
          <w:r>
            <w:instrText xml:space="preserve"> HYPERLINK \l "_Toc42160947" </w:instrText>
          </w:r>
          <w:r>
            <w:fldChar w:fldCharType="separate"/>
          </w:r>
          <w:r>
            <w:rPr>
              <w:rStyle w:val="36"/>
              <w:rFonts w:hint="eastAsia"/>
            </w:rPr>
            <w:t>第三章</w:t>
          </w:r>
          <w:r>
            <w:rPr>
              <w:rStyle w:val="36"/>
            </w:rPr>
            <w:t xml:space="preserve"> </w:t>
          </w:r>
          <w:r>
            <w:rPr>
              <w:rStyle w:val="36"/>
              <w:rFonts w:hint="eastAsia"/>
            </w:rPr>
            <w:t>投标文件格式</w:t>
          </w:r>
          <w:r>
            <w:tab/>
          </w:r>
          <w:r>
            <w:fldChar w:fldCharType="begin"/>
          </w:r>
          <w:r>
            <w:instrText xml:space="preserve"> PAGEREF _Toc42160947 \h </w:instrText>
          </w:r>
          <w:r>
            <w:fldChar w:fldCharType="separate"/>
          </w:r>
          <w:r>
            <w:t>- 9 -</w:t>
          </w:r>
          <w:r>
            <w:fldChar w:fldCharType="end"/>
          </w:r>
          <w:r>
            <w:fldChar w:fldCharType="end"/>
          </w:r>
        </w:p>
        <w:p>
          <w:pPr>
            <w:pStyle w:val="2"/>
            <w:tabs>
              <w:tab w:val="right" w:leader="dot" w:pos="8665"/>
            </w:tabs>
            <w:rPr>
              <w:rFonts w:asciiTheme="minorHAnsi" w:hAnsiTheme="minorHAnsi" w:eastAsiaTheme="minorEastAsia"/>
              <w:sz w:val="21"/>
            </w:rPr>
          </w:pPr>
          <w:r>
            <w:fldChar w:fldCharType="begin"/>
          </w:r>
          <w:r>
            <w:instrText xml:space="preserve"> HYPERLINK \l "_Toc42160948" </w:instrText>
          </w:r>
          <w:r>
            <w:fldChar w:fldCharType="separate"/>
          </w:r>
          <w:r>
            <w:rPr>
              <w:rStyle w:val="36"/>
              <w:rFonts w:hint="eastAsia"/>
            </w:rPr>
            <w:t>第四章</w:t>
          </w:r>
          <w:r>
            <w:rPr>
              <w:rStyle w:val="36"/>
            </w:rPr>
            <w:t xml:space="preserve"> </w:t>
          </w:r>
          <w:r>
            <w:rPr>
              <w:rStyle w:val="36"/>
              <w:rFonts w:hint="eastAsia"/>
            </w:rPr>
            <w:t>拟签订的合同文本</w:t>
          </w:r>
          <w:r>
            <w:tab/>
          </w:r>
          <w:r>
            <w:fldChar w:fldCharType="begin"/>
          </w:r>
          <w:r>
            <w:instrText xml:space="preserve"> PAGEREF _Toc42160948 \h </w:instrText>
          </w:r>
          <w:r>
            <w:fldChar w:fldCharType="separate"/>
          </w:r>
          <w:r>
            <w:t>- 14 -</w:t>
          </w:r>
          <w:r>
            <w:fldChar w:fldCharType="end"/>
          </w:r>
          <w:r>
            <w:fldChar w:fldCharType="end"/>
          </w:r>
        </w:p>
        <w:p>
          <w:pPr>
            <w:pStyle w:val="2"/>
            <w:tabs>
              <w:tab w:val="right" w:leader="dot" w:pos="8665"/>
            </w:tabs>
            <w:rPr>
              <w:rFonts w:asciiTheme="minorHAnsi" w:hAnsiTheme="minorHAnsi" w:eastAsiaTheme="minorEastAsia"/>
              <w:sz w:val="21"/>
            </w:rPr>
          </w:pPr>
          <w:r>
            <w:fldChar w:fldCharType="begin"/>
          </w:r>
          <w:r>
            <w:instrText xml:space="preserve"> HYPERLINK \l "_Toc42160949" </w:instrText>
          </w:r>
          <w:r>
            <w:fldChar w:fldCharType="separate"/>
          </w:r>
          <w:r>
            <w:rPr>
              <w:rStyle w:val="36"/>
              <w:rFonts w:hint="eastAsia"/>
            </w:rPr>
            <w:t>第五章</w:t>
          </w:r>
          <w:r>
            <w:rPr>
              <w:rStyle w:val="36"/>
            </w:rPr>
            <w:t xml:space="preserve"> </w:t>
          </w:r>
          <w:r>
            <w:rPr>
              <w:rStyle w:val="36"/>
              <w:rFonts w:hint="eastAsia"/>
            </w:rPr>
            <w:t>采购需求</w:t>
          </w:r>
          <w:r>
            <w:tab/>
          </w:r>
          <w:r>
            <w:fldChar w:fldCharType="begin"/>
          </w:r>
          <w:r>
            <w:instrText xml:space="preserve"> PAGEREF _Toc42160949 \h </w:instrText>
          </w:r>
          <w:r>
            <w:fldChar w:fldCharType="separate"/>
          </w:r>
          <w:r>
            <w:t>- 15 -</w:t>
          </w:r>
          <w:r>
            <w:fldChar w:fldCharType="end"/>
          </w:r>
          <w:r>
            <w:fldChar w:fldCharType="end"/>
          </w:r>
        </w:p>
        <w:p>
          <w:pPr>
            <w:pStyle w:val="2"/>
            <w:tabs>
              <w:tab w:val="right" w:leader="dot" w:pos="8665"/>
            </w:tabs>
            <w:rPr>
              <w:rFonts w:asciiTheme="minorHAnsi" w:hAnsiTheme="minorHAnsi" w:eastAsiaTheme="minorEastAsia"/>
              <w:sz w:val="21"/>
            </w:rPr>
          </w:pPr>
          <w:r>
            <w:fldChar w:fldCharType="begin"/>
          </w:r>
          <w:r>
            <w:instrText xml:space="preserve"> HYPERLINK \l "_Toc42160950" </w:instrText>
          </w:r>
          <w:r>
            <w:fldChar w:fldCharType="separate"/>
          </w:r>
          <w:r>
            <w:rPr>
              <w:rStyle w:val="36"/>
              <w:rFonts w:hint="eastAsia"/>
            </w:rPr>
            <w:t>第六章</w:t>
          </w:r>
          <w:r>
            <w:rPr>
              <w:rStyle w:val="36"/>
            </w:rPr>
            <w:t xml:space="preserve"> </w:t>
          </w:r>
          <w:r>
            <w:rPr>
              <w:rStyle w:val="36"/>
              <w:rFonts w:hint="eastAsia"/>
            </w:rPr>
            <w:t>评标方法与评标标准</w:t>
          </w:r>
          <w:r>
            <w:tab/>
          </w:r>
          <w:r>
            <w:fldChar w:fldCharType="begin"/>
          </w:r>
          <w:r>
            <w:instrText xml:space="preserve"> PAGEREF _Toc42160950 \h </w:instrText>
          </w:r>
          <w:r>
            <w:fldChar w:fldCharType="separate"/>
          </w:r>
          <w:r>
            <w:t>- 19 -</w:t>
          </w:r>
          <w:r>
            <w:fldChar w:fldCharType="end"/>
          </w:r>
          <w:r>
            <w:fldChar w:fldCharType="end"/>
          </w:r>
        </w:p>
        <w:p>
          <w:r>
            <w:fldChar w:fldCharType="end"/>
          </w:r>
        </w:p>
      </w:sdtContent>
    </w:sdt>
    <w:p/>
    <w:p/>
    <w:p>
      <w:pPr>
        <w:sectPr>
          <w:headerReference r:id="rId5" w:type="first"/>
          <w:footerReference r:id="rId8" w:type="first"/>
          <w:headerReference r:id="rId3" w:type="default"/>
          <w:footerReference r:id="rId6" w:type="default"/>
          <w:headerReference r:id="rId4" w:type="even"/>
          <w:footerReference r:id="rId7" w:type="even"/>
          <w:type w:val="oddPage"/>
          <w:pgSz w:w="11907" w:h="16840"/>
          <w:pgMar w:top="1418" w:right="1418" w:bottom="1418" w:left="1814" w:header="1134" w:footer="851" w:gutter="0"/>
          <w:pgNumType w:fmt="lowerRoman" w:start="1"/>
          <w:cols w:space="425" w:num="1"/>
          <w:titlePg/>
          <w:docGrid w:type="linesAndChars" w:linePitch="312" w:charSpace="0"/>
        </w:sectPr>
      </w:pPr>
    </w:p>
    <w:p>
      <w:pPr>
        <w:pStyle w:val="53"/>
        <w:spacing w:before="320"/>
        <w:rPr>
          <w:color w:val="000000" w:themeColor="text1"/>
          <w14:textFill>
            <w14:solidFill>
              <w14:schemeClr w14:val="tx1"/>
            </w14:solidFill>
          </w14:textFill>
        </w:rPr>
      </w:pPr>
      <w:bookmarkStart w:id="8" w:name="_Toc42160928"/>
      <w:bookmarkStart w:id="9" w:name="_Toc4263571"/>
      <w:r>
        <w:rPr>
          <w:rFonts w:hint="eastAsia"/>
          <w:color w:val="000000" w:themeColor="text1"/>
          <w14:textFill>
            <w14:solidFill>
              <w14:schemeClr w14:val="tx1"/>
            </w14:solidFill>
          </w14:textFill>
        </w:rPr>
        <w:t>第一章 投标邀请</w:t>
      </w:r>
      <w:bookmarkEnd w:id="8"/>
      <w:bookmarkEnd w:id="9"/>
    </w:p>
    <w:p>
      <w:pPr>
        <w:pStyle w:val="26"/>
        <w:keepNext w:val="0"/>
        <w:keepLines w:val="0"/>
        <w:pageBreakBefore w:val="0"/>
        <w:widowControl/>
        <w:shd w:val="clear" w:color="auto" w:fill="FFFFFF"/>
        <w:kinsoku/>
        <w:wordWrap/>
        <w:overflowPunct/>
        <w:topLinePunct w:val="0"/>
        <w:autoSpaceDE/>
        <w:autoSpaceDN/>
        <w:bidi w:val="0"/>
        <w:adjustRightInd/>
        <w:snapToGrid/>
        <w:spacing w:beforeAutospacing="0" w:after="195" w:afterAutospacing="0" w:line="540" w:lineRule="exact"/>
        <w:ind w:firstLine="480" w:firstLineChars="200"/>
        <w:textAlignment w:val="auto"/>
        <w:rPr>
          <w:rFonts w:ascii="宋体" w:hAnsi="宋体" w:eastAsia="宋体" w:cs="宋体"/>
          <w:color w:val="auto"/>
          <w:shd w:val="clear" w:color="auto" w:fill="FFFFFF"/>
        </w:rPr>
      </w:pPr>
      <w:r>
        <w:rPr>
          <w:rFonts w:hint="eastAsia" w:ascii="宋体" w:hAnsi="宋体" w:eastAsia="宋体" w:cs="宋体"/>
          <w:color w:val="auto"/>
          <w:shd w:val="clear" w:color="auto" w:fill="FFFFFF"/>
        </w:rPr>
        <w:t>依据我院科室需求，拟对下列产品进行院内采购，欢迎符合条件的厂商和供应商参与。</w:t>
      </w:r>
    </w:p>
    <w:p>
      <w:pPr>
        <w:pStyle w:val="26"/>
        <w:keepNext w:val="0"/>
        <w:keepLines w:val="0"/>
        <w:pageBreakBefore w:val="0"/>
        <w:widowControl/>
        <w:shd w:val="clear" w:color="auto" w:fill="FFFFFF"/>
        <w:kinsoku/>
        <w:wordWrap/>
        <w:overflowPunct/>
        <w:topLinePunct w:val="0"/>
        <w:autoSpaceDE/>
        <w:autoSpaceDN/>
        <w:bidi w:val="0"/>
        <w:adjustRightInd/>
        <w:snapToGrid/>
        <w:spacing w:beforeAutospacing="0" w:after="195" w:afterAutospacing="0" w:line="540" w:lineRule="exact"/>
        <w:ind w:firstLine="480" w:firstLineChars="200"/>
        <w:textAlignment w:val="auto"/>
        <w:rPr>
          <w:rStyle w:val="32"/>
          <w:rFonts w:ascii="宋体" w:hAnsi="宋体" w:eastAsia="宋体" w:cs="宋体"/>
          <w:color w:val="auto"/>
          <w:shd w:val="clear" w:color="auto" w:fill="FFFFFF"/>
        </w:rPr>
      </w:pPr>
      <w:r>
        <w:rPr>
          <w:rStyle w:val="32"/>
          <w:rFonts w:hint="eastAsia" w:ascii="宋体" w:hAnsi="宋体" w:eastAsia="宋体" w:cs="宋体"/>
          <w:color w:val="auto"/>
          <w:shd w:val="clear" w:color="auto" w:fill="FFFFFF"/>
        </w:rPr>
        <w:t>一、项目内容:</w:t>
      </w:r>
    </w:p>
    <w:tbl>
      <w:tblPr>
        <w:tblStyle w:val="29"/>
        <w:tblpPr w:leftFromText="180" w:rightFromText="180" w:vertAnchor="text" w:horzAnchor="page" w:tblpX="1274" w:tblpY="11"/>
        <w:tblOverlap w:val="never"/>
        <w:tblW w:w="10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2859"/>
        <w:gridCol w:w="129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508" w:type="dxa"/>
            <w:noWrap/>
            <w:vAlign w:val="center"/>
          </w:tcPr>
          <w:p>
            <w:pPr>
              <w:spacing w:line="500" w:lineRule="atLeast"/>
              <w:jc w:val="center"/>
              <w:rPr>
                <w:rFonts w:hint="eastAsia" w:ascii="宋体" w:hAnsi="宋体" w:eastAsia="宋体" w:cs="宋体"/>
                <w:color w:val="000000"/>
                <w:sz w:val="21"/>
                <w:szCs w:val="21"/>
              </w:rPr>
            </w:pPr>
            <w:r>
              <w:rPr>
                <w:rFonts w:hint="eastAsia" w:ascii="宋体" w:hAnsi="宋体"/>
                <w:b/>
                <w:bCs/>
                <w:color w:val="0D0D0D"/>
                <w:szCs w:val="24"/>
              </w:rPr>
              <w:t>项目名称</w:t>
            </w:r>
          </w:p>
        </w:tc>
        <w:tc>
          <w:tcPr>
            <w:tcW w:w="2859" w:type="dxa"/>
            <w:noWrap/>
            <w:vAlign w:val="center"/>
          </w:tcPr>
          <w:p>
            <w:pPr>
              <w:spacing w:line="500" w:lineRule="atLeast"/>
              <w:jc w:val="center"/>
              <w:rPr>
                <w:rFonts w:hint="eastAsia" w:ascii="宋体" w:hAnsi="宋体" w:eastAsia="宋体" w:cs="宋体"/>
                <w:color w:val="000000"/>
                <w:sz w:val="21"/>
                <w:szCs w:val="21"/>
              </w:rPr>
            </w:pPr>
            <w:r>
              <w:rPr>
                <w:rFonts w:hint="eastAsia" w:ascii="宋体" w:hAnsi="宋体"/>
                <w:b/>
                <w:bCs/>
                <w:color w:val="0D0D0D"/>
                <w:szCs w:val="24"/>
              </w:rPr>
              <w:t>采购需求</w:t>
            </w:r>
          </w:p>
        </w:tc>
        <w:tc>
          <w:tcPr>
            <w:tcW w:w="1290" w:type="dxa"/>
            <w:noWrap/>
            <w:vAlign w:val="center"/>
          </w:tcPr>
          <w:p>
            <w:pPr>
              <w:spacing w:line="500" w:lineRule="atLeast"/>
              <w:jc w:val="center"/>
              <w:rPr>
                <w:rFonts w:hint="eastAsia" w:ascii="宋体" w:hAnsi="宋体" w:eastAsia="宋体" w:cs="宋体"/>
                <w:color w:val="000000"/>
                <w:sz w:val="21"/>
                <w:szCs w:val="21"/>
              </w:rPr>
            </w:pPr>
            <w:r>
              <w:rPr>
                <w:rFonts w:hint="eastAsia" w:ascii="宋体" w:hAnsi="宋体"/>
                <w:b/>
                <w:bCs/>
                <w:color w:val="0D0D0D"/>
                <w:szCs w:val="24"/>
              </w:rPr>
              <w:t>数量</w:t>
            </w:r>
          </w:p>
        </w:tc>
        <w:tc>
          <w:tcPr>
            <w:tcW w:w="1461" w:type="dxa"/>
            <w:noWrap/>
            <w:vAlign w:val="center"/>
          </w:tcPr>
          <w:p>
            <w:pPr>
              <w:spacing w:line="500" w:lineRule="atLeast"/>
              <w:jc w:val="center"/>
              <w:rPr>
                <w:rFonts w:hint="eastAsia" w:ascii="宋体" w:hAnsi="宋体" w:eastAsia="宋体" w:cs="宋体"/>
                <w:color w:val="000000"/>
                <w:sz w:val="21"/>
                <w:szCs w:val="21"/>
              </w:rPr>
            </w:pPr>
            <w:r>
              <w:rPr>
                <w:rFonts w:hint="eastAsia" w:ascii="宋体" w:hAnsi="宋体"/>
                <w:b/>
                <w:bCs/>
                <w:color w:val="0D0D0D"/>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4508" w:type="dxa"/>
            <w:noWrap/>
            <w:vAlign w:val="center"/>
          </w:tcPr>
          <w:p>
            <w:pPr>
              <w:spacing w:line="500" w:lineRule="atLeast"/>
              <w:jc w:val="center"/>
              <w:rPr>
                <w:rFonts w:hint="eastAsia" w:ascii="宋体" w:hAnsi="宋体" w:eastAsia="宋体" w:cs="宋体"/>
                <w:color w:val="000000"/>
                <w:sz w:val="21"/>
                <w:szCs w:val="21"/>
                <w:lang w:val="en-US" w:eastAsia="zh-CN"/>
              </w:rPr>
            </w:pPr>
            <w:r>
              <w:rPr>
                <w:rFonts w:hint="eastAsia"/>
                <w:b w:val="0"/>
                <w:sz w:val="24"/>
                <w:szCs w:val="28"/>
                <w:lang w:eastAsia="zh-CN"/>
              </w:rPr>
              <w:t>赣江新区人民医院</w:t>
            </w:r>
            <w:r>
              <w:rPr>
                <w:rFonts w:hint="eastAsia" w:asciiTheme="minorEastAsia" w:hAnsiTheme="minorEastAsia"/>
                <w:color w:val="auto"/>
                <w:sz w:val="24"/>
                <w:szCs w:val="24"/>
                <w:lang w:val="en-US" w:eastAsia="zh-CN"/>
              </w:rPr>
              <w:t>手腕带供应服务</w:t>
            </w:r>
            <w:r>
              <w:rPr>
                <w:rFonts w:hint="eastAsia"/>
                <w:b w:val="0"/>
                <w:sz w:val="24"/>
                <w:szCs w:val="28"/>
              </w:rPr>
              <w:t>采购</w:t>
            </w:r>
          </w:p>
        </w:tc>
        <w:tc>
          <w:tcPr>
            <w:tcW w:w="2859" w:type="dxa"/>
            <w:noWrap/>
            <w:vAlign w:val="center"/>
          </w:tcPr>
          <w:p>
            <w:pPr>
              <w:spacing w:line="500" w:lineRule="atLeast"/>
              <w:jc w:val="center"/>
              <w:rPr>
                <w:rFonts w:hint="eastAsia" w:ascii="宋体" w:hAnsi="宋体" w:eastAsia="宋体" w:cs="宋体"/>
                <w:color w:val="000000"/>
                <w:sz w:val="21"/>
                <w:szCs w:val="21"/>
              </w:rPr>
            </w:pPr>
            <w:r>
              <w:rPr>
                <w:rFonts w:hint="eastAsia" w:ascii="宋体" w:hAnsi="宋体"/>
                <w:b/>
                <w:bCs/>
                <w:color w:val="0D0D0D"/>
                <w:szCs w:val="24"/>
              </w:rPr>
              <w:t>详见招标文件第五章</w:t>
            </w:r>
          </w:p>
        </w:tc>
        <w:tc>
          <w:tcPr>
            <w:tcW w:w="1290" w:type="dxa"/>
            <w:noWrap/>
            <w:vAlign w:val="center"/>
          </w:tcPr>
          <w:p>
            <w:pPr>
              <w:spacing w:line="500" w:lineRule="atLeast"/>
              <w:jc w:val="center"/>
              <w:rPr>
                <w:rFonts w:hint="eastAsia" w:ascii="宋体" w:hAnsi="宋体" w:eastAsia="宋体" w:cs="宋体"/>
                <w:color w:val="000000"/>
                <w:sz w:val="21"/>
                <w:szCs w:val="21"/>
                <w:lang w:eastAsia="zh-CN"/>
              </w:rPr>
            </w:pPr>
            <w:r>
              <w:rPr>
                <w:rFonts w:hint="eastAsia" w:ascii="宋体" w:hAnsi="宋体" w:eastAsia="宋体" w:cs="宋体"/>
                <w:sz w:val="24"/>
                <w:szCs w:val="24"/>
                <w:lang w:val="en-US" w:eastAsia="zh-CN"/>
              </w:rPr>
              <w:t>一批</w:t>
            </w:r>
          </w:p>
        </w:tc>
        <w:tc>
          <w:tcPr>
            <w:tcW w:w="1461" w:type="dxa"/>
            <w:noWrap/>
            <w:vAlign w:val="center"/>
          </w:tcPr>
          <w:p>
            <w:pPr>
              <w:spacing w:line="500" w:lineRule="atLeast"/>
              <w:jc w:val="center"/>
              <w:rPr>
                <w:rFonts w:hint="default" w:ascii="宋体" w:hAnsi="宋体" w:eastAsia="宋体" w:cs="宋体"/>
                <w:color w:val="000000"/>
                <w:sz w:val="21"/>
                <w:szCs w:val="21"/>
                <w:lang w:val="en-US" w:eastAsia="zh-CN"/>
              </w:rPr>
            </w:pPr>
            <w:r>
              <w:rPr>
                <w:rFonts w:hint="eastAsia" w:ascii="宋体" w:hAnsi="宋体"/>
                <w:b/>
                <w:bCs/>
                <w:color w:val="0D0D0D"/>
                <w:szCs w:val="24"/>
                <w:lang w:val="en-US" w:eastAsia="zh-CN"/>
              </w:rPr>
              <w:t>4万/年</w:t>
            </w:r>
          </w:p>
        </w:tc>
      </w:tr>
    </w:tbl>
    <w:p>
      <w:pPr>
        <w:pStyle w:val="26"/>
        <w:keepNext w:val="0"/>
        <w:keepLines w:val="0"/>
        <w:pageBreakBefore w:val="0"/>
        <w:widowControl/>
        <w:kinsoku/>
        <w:wordWrap/>
        <w:overflowPunct/>
        <w:topLinePunct w:val="0"/>
        <w:autoSpaceDE/>
        <w:autoSpaceDN/>
        <w:bidi w:val="0"/>
        <w:adjustRightInd/>
        <w:snapToGrid/>
        <w:spacing w:before="75" w:beforeAutospacing="0" w:after="75" w:afterAutospacing="0" w:line="540" w:lineRule="exact"/>
        <w:ind w:firstLine="480" w:firstLineChars="200"/>
        <w:textAlignment w:val="auto"/>
      </w:pPr>
      <w:r>
        <w:rPr>
          <w:rStyle w:val="32"/>
          <w:rFonts w:hint="eastAsia" w:ascii="宋体" w:hAnsi="宋体" w:eastAsia="宋体" w:cs="宋体"/>
          <w:color w:val="000000"/>
          <w:shd w:val="clear" w:color="auto" w:fill="FFFFFF"/>
        </w:rPr>
        <w:t>二、供应商资格要求：</w:t>
      </w:r>
    </w:p>
    <w:p>
      <w:pPr>
        <w:pStyle w:val="26"/>
        <w:keepNext w:val="0"/>
        <w:keepLines w:val="0"/>
        <w:pageBreakBefore w:val="0"/>
        <w:widowControl/>
        <w:kinsoku/>
        <w:wordWrap/>
        <w:overflowPunct/>
        <w:topLinePunct w:val="0"/>
        <w:autoSpaceDE/>
        <w:autoSpaceDN/>
        <w:bidi w:val="0"/>
        <w:adjustRightInd/>
        <w:snapToGrid/>
        <w:spacing w:before="75" w:beforeAutospacing="0" w:after="75" w:afterAutospacing="0" w:line="540" w:lineRule="exact"/>
        <w:ind w:firstLine="480" w:firstLineChars="200"/>
        <w:textAlignment w:val="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1.满足《中华人民共和国政府采购法》第二十二条规定：</w:t>
      </w:r>
    </w:p>
    <w:p>
      <w:pPr>
        <w:pStyle w:val="26"/>
        <w:keepNext w:val="0"/>
        <w:keepLines w:val="0"/>
        <w:pageBreakBefore w:val="0"/>
        <w:widowControl/>
        <w:kinsoku/>
        <w:wordWrap/>
        <w:overflowPunct/>
        <w:topLinePunct w:val="0"/>
        <w:autoSpaceDE/>
        <w:autoSpaceDN/>
        <w:bidi w:val="0"/>
        <w:adjustRightInd/>
        <w:snapToGrid/>
        <w:spacing w:before="75" w:beforeAutospacing="0" w:after="75" w:afterAutospacing="0" w:line="540" w:lineRule="exact"/>
        <w:ind w:firstLine="480" w:firstLineChars="200"/>
        <w:textAlignment w:val="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 xml:space="preserve">（1）具有独立承担民事责任的能力 </w:t>
      </w:r>
    </w:p>
    <w:p>
      <w:pPr>
        <w:pStyle w:val="26"/>
        <w:keepNext w:val="0"/>
        <w:keepLines w:val="0"/>
        <w:pageBreakBefore w:val="0"/>
        <w:widowControl/>
        <w:kinsoku/>
        <w:wordWrap/>
        <w:overflowPunct/>
        <w:topLinePunct w:val="0"/>
        <w:autoSpaceDE/>
        <w:autoSpaceDN/>
        <w:bidi w:val="0"/>
        <w:adjustRightInd/>
        <w:snapToGrid/>
        <w:spacing w:before="75" w:beforeAutospacing="0" w:after="75" w:afterAutospacing="0" w:line="540" w:lineRule="exact"/>
        <w:ind w:firstLine="480" w:firstLineChars="200"/>
        <w:textAlignment w:val="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 xml:space="preserve">（2）具有良好的商业信誉和健全的财务会计制度 </w:t>
      </w:r>
    </w:p>
    <w:p>
      <w:pPr>
        <w:pStyle w:val="26"/>
        <w:keepNext w:val="0"/>
        <w:keepLines w:val="0"/>
        <w:pageBreakBefore w:val="0"/>
        <w:widowControl/>
        <w:kinsoku/>
        <w:wordWrap/>
        <w:overflowPunct/>
        <w:topLinePunct w:val="0"/>
        <w:autoSpaceDE/>
        <w:autoSpaceDN/>
        <w:bidi w:val="0"/>
        <w:adjustRightInd/>
        <w:snapToGrid/>
        <w:spacing w:before="75" w:beforeAutospacing="0" w:after="75" w:afterAutospacing="0" w:line="540" w:lineRule="exact"/>
        <w:ind w:firstLine="480" w:firstLineChars="200"/>
        <w:textAlignment w:val="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 xml:space="preserve">（3）具有履行合同所必须的设备和专业技术能力 </w:t>
      </w:r>
    </w:p>
    <w:p>
      <w:pPr>
        <w:pStyle w:val="26"/>
        <w:keepNext w:val="0"/>
        <w:keepLines w:val="0"/>
        <w:pageBreakBefore w:val="0"/>
        <w:widowControl/>
        <w:kinsoku/>
        <w:wordWrap/>
        <w:overflowPunct/>
        <w:topLinePunct w:val="0"/>
        <w:autoSpaceDE/>
        <w:autoSpaceDN/>
        <w:bidi w:val="0"/>
        <w:adjustRightInd/>
        <w:snapToGrid/>
        <w:spacing w:before="75" w:beforeAutospacing="0" w:after="75" w:afterAutospacing="0" w:line="540" w:lineRule="exact"/>
        <w:ind w:firstLine="480" w:firstLineChars="200"/>
        <w:textAlignment w:val="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 xml:space="preserve">（4）有依法缴纳税收和社会保障资金的良好记录 </w:t>
      </w:r>
    </w:p>
    <w:p>
      <w:pPr>
        <w:pStyle w:val="26"/>
        <w:keepNext w:val="0"/>
        <w:keepLines w:val="0"/>
        <w:pageBreakBefore w:val="0"/>
        <w:widowControl/>
        <w:kinsoku/>
        <w:wordWrap/>
        <w:overflowPunct/>
        <w:topLinePunct w:val="0"/>
        <w:autoSpaceDE/>
        <w:autoSpaceDN/>
        <w:bidi w:val="0"/>
        <w:adjustRightInd/>
        <w:snapToGrid/>
        <w:spacing w:before="75" w:beforeAutospacing="0" w:after="75" w:afterAutospacing="0" w:line="540" w:lineRule="exact"/>
        <w:ind w:firstLine="480" w:firstLineChars="200"/>
        <w:textAlignment w:val="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（5）参加政府采购活动前三年内,在经营活动中没有重大违法记录</w:t>
      </w:r>
    </w:p>
    <w:p>
      <w:pPr>
        <w:pStyle w:val="26"/>
        <w:keepNext w:val="0"/>
        <w:keepLines w:val="0"/>
        <w:pageBreakBefore w:val="0"/>
        <w:widowControl/>
        <w:kinsoku/>
        <w:wordWrap/>
        <w:overflowPunct/>
        <w:topLinePunct w:val="0"/>
        <w:autoSpaceDE/>
        <w:autoSpaceDN/>
        <w:bidi w:val="0"/>
        <w:adjustRightInd/>
        <w:snapToGrid/>
        <w:spacing w:before="75" w:beforeAutospacing="0" w:after="75" w:afterAutospacing="0" w:line="540" w:lineRule="exact"/>
        <w:ind w:firstLine="480" w:firstLineChars="200"/>
        <w:textAlignment w:val="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（6）法律、行政法规规定的其他条件。</w:t>
      </w:r>
    </w:p>
    <w:p>
      <w:pPr>
        <w:pStyle w:val="26"/>
        <w:keepNext w:val="0"/>
        <w:keepLines w:val="0"/>
        <w:pageBreakBefore w:val="0"/>
        <w:widowControl/>
        <w:kinsoku/>
        <w:wordWrap/>
        <w:overflowPunct/>
        <w:topLinePunct w:val="0"/>
        <w:autoSpaceDE/>
        <w:autoSpaceDN/>
        <w:bidi w:val="0"/>
        <w:adjustRightInd/>
        <w:snapToGrid/>
        <w:spacing w:before="75" w:beforeAutospacing="0" w:after="75" w:afterAutospacing="0" w:line="540" w:lineRule="exact"/>
        <w:ind w:firstLine="480" w:firstLineChars="200"/>
        <w:textAlignment w:val="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2.本项目的特定资格要求：</w:t>
      </w:r>
    </w:p>
    <w:p>
      <w:pPr>
        <w:pStyle w:val="26"/>
        <w:keepNext w:val="0"/>
        <w:keepLines w:val="0"/>
        <w:pageBreakBefore w:val="0"/>
        <w:widowControl/>
        <w:kinsoku/>
        <w:wordWrap/>
        <w:overflowPunct/>
        <w:topLinePunct w:val="0"/>
        <w:autoSpaceDE/>
        <w:autoSpaceDN/>
        <w:bidi w:val="0"/>
        <w:adjustRightInd/>
        <w:snapToGrid/>
        <w:spacing w:before="75" w:beforeAutospacing="0" w:after="75" w:afterAutospacing="0" w:line="540" w:lineRule="exact"/>
        <w:ind w:firstLine="480" w:firstLineChars="200"/>
        <w:textAlignment w:val="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（1）供应商被“信用中国”网站列入失信被执行人和重大税收违法案件当事人名单的、被“中国政府采购网”网站列入政府采购严重违法失信行为记录名单（处罚期限尚未届满的），不得参与本项目采购活动。</w:t>
      </w:r>
    </w:p>
    <w:p>
      <w:pPr>
        <w:pStyle w:val="26"/>
        <w:keepNext w:val="0"/>
        <w:keepLines w:val="0"/>
        <w:pageBreakBefore w:val="0"/>
        <w:widowControl/>
        <w:kinsoku/>
        <w:wordWrap/>
        <w:overflowPunct/>
        <w:topLinePunct w:val="0"/>
        <w:autoSpaceDE/>
        <w:autoSpaceDN/>
        <w:bidi w:val="0"/>
        <w:adjustRightInd/>
        <w:snapToGrid/>
        <w:spacing w:before="75" w:beforeAutospacing="0" w:after="75" w:afterAutospacing="0" w:line="540" w:lineRule="exact"/>
        <w:ind w:firstLine="480" w:firstLineChars="200"/>
        <w:textAlignment w:val="auto"/>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（2）本项目不接受联合体投标。</w:t>
      </w:r>
    </w:p>
    <w:p>
      <w:pPr>
        <w:pStyle w:val="26"/>
        <w:keepNext w:val="0"/>
        <w:keepLines w:val="0"/>
        <w:pageBreakBefore w:val="0"/>
        <w:widowControl/>
        <w:kinsoku/>
        <w:wordWrap/>
        <w:overflowPunct/>
        <w:topLinePunct w:val="0"/>
        <w:autoSpaceDE/>
        <w:autoSpaceDN/>
        <w:bidi w:val="0"/>
        <w:adjustRightInd/>
        <w:snapToGrid/>
        <w:spacing w:before="75" w:beforeAutospacing="0" w:after="75" w:afterAutospacing="0" w:line="540" w:lineRule="exact"/>
        <w:ind w:firstLine="480" w:firstLineChars="200"/>
        <w:textAlignment w:val="auto"/>
        <w:rPr>
          <w:rStyle w:val="32"/>
          <w:rFonts w:ascii="宋体" w:hAnsi="宋体" w:eastAsia="宋体" w:cs="宋体"/>
          <w:color w:val="000000"/>
          <w:shd w:val="clear" w:color="auto" w:fill="FFFFFF"/>
        </w:rPr>
      </w:pPr>
      <w:r>
        <w:rPr>
          <w:rStyle w:val="32"/>
          <w:rFonts w:hint="eastAsia" w:ascii="宋体" w:hAnsi="宋体" w:eastAsia="宋体" w:cs="宋体"/>
          <w:color w:val="000000"/>
          <w:shd w:val="clear" w:color="auto" w:fill="FFFFFF"/>
        </w:rPr>
        <w:t>三、报名时需提供以下材料：</w:t>
      </w:r>
    </w:p>
    <w:p>
      <w:pPr>
        <w:pStyle w:val="26"/>
        <w:keepNext w:val="0"/>
        <w:keepLines w:val="0"/>
        <w:pageBreakBefore w:val="0"/>
        <w:widowControl/>
        <w:shd w:val="clear" w:color="auto" w:fill="FFFFFF"/>
        <w:kinsoku/>
        <w:wordWrap/>
        <w:overflowPunct/>
        <w:topLinePunct w:val="0"/>
        <w:autoSpaceDE/>
        <w:autoSpaceDN/>
        <w:bidi w:val="0"/>
        <w:adjustRightInd/>
        <w:snapToGrid/>
        <w:spacing w:beforeAutospacing="0" w:after="195" w:afterAutospacing="0" w:line="540" w:lineRule="exact"/>
        <w:ind w:firstLine="480" w:firstLineChars="200"/>
        <w:textAlignment w:val="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1、投标人的有效营业执照</w:t>
      </w:r>
      <w:r>
        <w:rPr>
          <w:rFonts w:hint="eastAsia" w:ascii="宋体" w:hAnsi="宋体" w:eastAsia="宋体" w:cs="宋体"/>
          <w:color w:val="000000"/>
          <w:shd w:val="clear" w:color="auto" w:fill="FFFFFF"/>
          <w:lang w:val="en-US" w:eastAsia="zh-CN"/>
        </w:rPr>
        <w:t>复印件（</w:t>
      </w:r>
      <w:r>
        <w:rPr>
          <w:rFonts w:hint="eastAsia" w:ascii="宋体" w:hAnsi="宋体" w:eastAsia="宋体" w:cs="宋体"/>
          <w:color w:val="000000"/>
          <w:shd w:val="clear" w:color="auto" w:fill="FFFFFF"/>
        </w:rPr>
        <w:t>加盖公章</w:t>
      </w:r>
      <w:r>
        <w:rPr>
          <w:rFonts w:hint="eastAsia" w:ascii="宋体" w:hAnsi="宋体" w:eastAsia="宋体" w:cs="宋体"/>
          <w:color w:val="000000"/>
          <w:shd w:val="clear" w:color="auto" w:fill="FFFFFF"/>
          <w:lang w:val="en-US" w:eastAsia="zh-CN"/>
        </w:rPr>
        <w:t>）</w:t>
      </w:r>
      <w:r>
        <w:rPr>
          <w:rFonts w:hint="eastAsia" w:ascii="宋体" w:hAnsi="宋体" w:eastAsia="宋体" w:cs="宋体"/>
          <w:color w:val="000000"/>
          <w:shd w:val="clear" w:color="auto" w:fill="FFFFFF"/>
        </w:rPr>
        <w:t>。</w:t>
      </w:r>
    </w:p>
    <w:p>
      <w:pPr>
        <w:pStyle w:val="26"/>
        <w:keepNext w:val="0"/>
        <w:keepLines w:val="0"/>
        <w:pageBreakBefore w:val="0"/>
        <w:widowControl/>
        <w:shd w:val="clear" w:color="auto" w:fill="FFFFFF"/>
        <w:kinsoku/>
        <w:wordWrap/>
        <w:overflowPunct/>
        <w:topLinePunct w:val="0"/>
        <w:autoSpaceDE/>
        <w:autoSpaceDN/>
        <w:bidi w:val="0"/>
        <w:adjustRightInd/>
        <w:snapToGrid/>
        <w:spacing w:beforeAutospacing="0" w:after="195" w:afterAutospacing="0" w:line="540" w:lineRule="exact"/>
        <w:ind w:firstLine="480" w:firstLineChars="200"/>
        <w:textAlignment w:val="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2、投标公司单位介绍信/委托函（加盖公章）。</w:t>
      </w:r>
    </w:p>
    <w:p>
      <w:pPr>
        <w:pStyle w:val="26"/>
        <w:keepNext w:val="0"/>
        <w:keepLines w:val="0"/>
        <w:pageBreakBefore w:val="0"/>
        <w:widowControl/>
        <w:shd w:val="clear" w:color="auto" w:fill="FFFFFF"/>
        <w:kinsoku/>
        <w:wordWrap/>
        <w:overflowPunct/>
        <w:topLinePunct w:val="0"/>
        <w:autoSpaceDE/>
        <w:autoSpaceDN/>
        <w:bidi w:val="0"/>
        <w:adjustRightInd/>
        <w:snapToGrid/>
        <w:spacing w:after="195" w:line="540" w:lineRule="exact"/>
        <w:ind w:firstLine="480" w:firstLineChars="200"/>
        <w:textAlignment w:val="auto"/>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3、法定代表人和委托人有效身份证复印件（加盖公章）。</w:t>
      </w:r>
    </w:p>
    <w:p>
      <w:pPr>
        <w:pStyle w:val="26"/>
        <w:keepNext w:val="0"/>
        <w:keepLines w:val="0"/>
        <w:pageBreakBefore w:val="0"/>
        <w:widowControl/>
        <w:shd w:val="clear" w:color="auto" w:fill="FFFFFF"/>
        <w:kinsoku/>
        <w:wordWrap/>
        <w:overflowPunct/>
        <w:topLinePunct w:val="0"/>
        <w:autoSpaceDE/>
        <w:autoSpaceDN/>
        <w:bidi w:val="0"/>
        <w:adjustRightInd/>
        <w:snapToGrid/>
        <w:spacing w:beforeAutospacing="0" w:after="195" w:afterAutospacing="0" w:line="540" w:lineRule="exact"/>
        <w:ind w:left="547" w:leftChars="228" w:firstLine="0" w:firstLineChars="0"/>
        <w:textAlignment w:val="auto"/>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4、报名登记表（注明Email地址，委托人手机号等信息，可现场填写）。</w:t>
      </w:r>
    </w:p>
    <w:p>
      <w:pPr>
        <w:pStyle w:val="26"/>
        <w:keepNext w:val="0"/>
        <w:keepLines w:val="0"/>
        <w:pageBreakBefore w:val="0"/>
        <w:widowControl/>
        <w:shd w:val="clear" w:color="auto" w:fill="FFFFFF"/>
        <w:kinsoku/>
        <w:wordWrap/>
        <w:overflowPunct/>
        <w:topLinePunct w:val="0"/>
        <w:autoSpaceDE/>
        <w:autoSpaceDN/>
        <w:bidi w:val="0"/>
        <w:adjustRightInd/>
        <w:snapToGrid/>
        <w:spacing w:beforeAutospacing="0" w:after="195" w:afterAutospacing="0" w:line="540" w:lineRule="exact"/>
        <w:ind w:firstLine="480" w:firstLineChars="200"/>
        <w:textAlignment w:val="auto"/>
        <w:rPr>
          <w:rStyle w:val="32"/>
          <w:rFonts w:ascii="宋体" w:hAnsi="宋体" w:eastAsia="宋体" w:cs="宋体"/>
          <w:color w:val="000000"/>
          <w:shd w:val="clear" w:color="auto" w:fill="FFFFFF"/>
        </w:rPr>
      </w:pPr>
      <w:r>
        <w:rPr>
          <w:rStyle w:val="32"/>
          <w:rFonts w:hint="eastAsia" w:ascii="宋体" w:hAnsi="宋体" w:eastAsia="宋体" w:cs="宋体"/>
          <w:color w:val="000000"/>
          <w:shd w:val="clear" w:color="auto" w:fill="FFFFFF"/>
        </w:rPr>
        <w:t>四、谈判须知</w:t>
      </w:r>
    </w:p>
    <w:p>
      <w:pPr>
        <w:pStyle w:val="26"/>
        <w:keepNext w:val="0"/>
        <w:keepLines w:val="0"/>
        <w:pageBreakBefore w:val="0"/>
        <w:widowControl/>
        <w:shd w:val="clear" w:color="auto" w:fill="FFFFFF"/>
        <w:kinsoku/>
        <w:wordWrap/>
        <w:overflowPunct/>
        <w:topLinePunct w:val="0"/>
        <w:autoSpaceDE/>
        <w:autoSpaceDN/>
        <w:bidi w:val="0"/>
        <w:adjustRightInd/>
        <w:snapToGrid/>
        <w:spacing w:beforeAutospacing="0" w:after="195" w:afterAutospacing="0" w:line="540" w:lineRule="exact"/>
        <w:ind w:firstLine="480" w:firstLineChars="200"/>
        <w:textAlignment w:val="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1、谈判现场递交的响应文件（</w:t>
      </w:r>
      <w:r>
        <w:rPr>
          <w:rFonts w:hint="eastAsia" w:ascii="宋体" w:hAnsi="宋体" w:eastAsia="宋体" w:cs="宋体"/>
          <w:color w:val="FF0000"/>
          <w:shd w:val="clear" w:color="auto" w:fill="FFFFFF"/>
        </w:rPr>
        <w:t>一正</w:t>
      </w:r>
      <w:r>
        <w:rPr>
          <w:rFonts w:hint="eastAsia" w:ascii="宋体" w:hAnsi="宋体" w:eastAsia="宋体" w:cs="宋体"/>
          <w:color w:val="FF0000"/>
          <w:shd w:val="clear" w:color="auto" w:fill="FFFFFF"/>
          <w:lang w:val="en-US" w:eastAsia="zh-CN"/>
        </w:rPr>
        <w:t>四</w:t>
      </w:r>
      <w:r>
        <w:rPr>
          <w:rFonts w:hint="eastAsia" w:ascii="宋体" w:hAnsi="宋体" w:eastAsia="宋体" w:cs="宋体"/>
          <w:color w:val="FF0000"/>
          <w:shd w:val="clear" w:color="auto" w:fill="FFFFFF"/>
        </w:rPr>
        <w:t>副</w:t>
      </w:r>
      <w:r>
        <w:rPr>
          <w:rFonts w:hint="eastAsia" w:ascii="宋体" w:hAnsi="宋体" w:eastAsia="宋体" w:cs="宋体"/>
          <w:color w:val="FF0000"/>
          <w:shd w:val="clear" w:color="auto" w:fill="FFFFFF"/>
          <w:lang w:val="en-US" w:eastAsia="zh-CN"/>
        </w:rPr>
        <w:t>装订成册</w:t>
      </w:r>
      <w:r>
        <w:rPr>
          <w:rFonts w:hint="eastAsia" w:ascii="宋体" w:hAnsi="宋体" w:eastAsia="宋体" w:cs="宋体"/>
          <w:color w:val="FF0000"/>
          <w:shd w:val="clear" w:color="auto" w:fill="FFFFFF"/>
        </w:rPr>
        <w:t>，正本需全彩印</w:t>
      </w:r>
      <w:r>
        <w:rPr>
          <w:rFonts w:hint="eastAsia" w:ascii="宋体" w:hAnsi="宋体" w:eastAsia="宋体" w:cs="宋体"/>
          <w:color w:val="000000"/>
          <w:shd w:val="clear" w:color="auto" w:fill="FFFFFF"/>
        </w:rPr>
        <w:t>）：报名时要求的基础材料、征信网上证明、三年没违法记录的证明材料，“本项目的特定资格要求”中列举的相关证件等，</w:t>
      </w:r>
      <w:r>
        <w:rPr>
          <w:rFonts w:hint="eastAsia" w:ascii="宋体" w:hAnsi="宋体" w:eastAsia="宋体" w:cs="宋体"/>
          <w:color w:val="FF0000"/>
          <w:shd w:val="clear" w:color="auto" w:fill="FFFFFF"/>
        </w:rPr>
        <w:t>以上所有复印件加盖公章，响应文件需密封</w:t>
      </w:r>
      <w:r>
        <w:rPr>
          <w:rFonts w:hint="eastAsia" w:ascii="宋体" w:hAnsi="宋体" w:eastAsia="宋体" w:cs="宋体"/>
        </w:rPr>
        <w:t>。</w:t>
      </w:r>
    </w:p>
    <w:p>
      <w:pPr>
        <w:pStyle w:val="26"/>
        <w:keepNext w:val="0"/>
        <w:keepLines w:val="0"/>
        <w:pageBreakBefore w:val="0"/>
        <w:widowControl/>
        <w:shd w:val="clear" w:color="auto" w:fill="FFFFFF"/>
        <w:kinsoku/>
        <w:wordWrap/>
        <w:overflowPunct/>
        <w:topLinePunct w:val="0"/>
        <w:autoSpaceDE/>
        <w:autoSpaceDN/>
        <w:bidi w:val="0"/>
        <w:adjustRightInd/>
        <w:snapToGrid/>
        <w:spacing w:beforeAutospacing="0" w:after="195" w:afterAutospacing="0" w:line="540" w:lineRule="exact"/>
        <w:ind w:firstLine="480" w:firstLineChars="200"/>
        <w:textAlignment w:val="auto"/>
        <w:rPr>
          <w:rFonts w:hint="default" w:ascii="宋体" w:hAnsi="宋体" w:eastAsia="宋体" w:cs="宋体"/>
          <w:color w:val="000000"/>
          <w:shd w:val="clear" w:color="auto" w:fill="FFFFFF"/>
          <w:lang w:val="en-US" w:eastAsia="zh-CN"/>
        </w:rPr>
      </w:pPr>
      <w:r>
        <w:rPr>
          <w:rFonts w:hint="eastAsia" w:ascii="宋体" w:hAnsi="宋体" w:eastAsia="宋体" w:cs="宋体"/>
          <w:color w:val="000000"/>
          <w:shd w:val="clear" w:color="auto" w:fill="FFFFFF"/>
        </w:rPr>
        <w:t>2、</w:t>
      </w:r>
      <w:r>
        <w:rPr>
          <w:rFonts w:hint="eastAsia" w:ascii="宋体" w:hAnsi="宋体" w:eastAsia="宋体" w:cs="宋体"/>
          <w:color w:val="000000"/>
          <w:shd w:val="clear" w:color="auto" w:fill="FFFFFF"/>
          <w:lang w:val="en-US" w:eastAsia="zh-CN"/>
        </w:rPr>
        <w:t>具体投标文件要求见招标文件。</w:t>
      </w:r>
    </w:p>
    <w:p>
      <w:pPr>
        <w:pStyle w:val="26"/>
        <w:keepNext w:val="0"/>
        <w:keepLines w:val="0"/>
        <w:pageBreakBefore w:val="0"/>
        <w:widowControl/>
        <w:shd w:val="clear" w:color="auto" w:fill="FFFFFF"/>
        <w:kinsoku/>
        <w:wordWrap/>
        <w:overflowPunct/>
        <w:topLinePunct w:val="0"/>
        <w:autoSpaceDE/>
        <w:autoSpaceDN/>
        <w:bidi w:val="0"/>
        <w:adjustRightInd/>
        <w:snapToGrid/>
        <w:spacing w:beforeAutospacing="0" w:after="195" w:afterAutospacing="0" w:line="540" w:lineRule="exact"/>
        <w:ind w:firstLine="480" w:firstLineChars="200"/>
        <w:textAlignment w:val="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3、具体谈判时间、地点另行通知。</w:t>
      </w:r>
    </w:p>
    <w:p>
      <w:pPr>
        <w:pStyle w:val="26"/>
        <w:keepNext w:val="0"/>
        <w:keepLines w:val="0"/>
        <w:pageBreakBefore w:val="0"/>
        <w:widowControl/>
        <w:shd w:val="clear" w:color="auto" w:fill="FFFFFF"/>
        <w:kinsoku/>
        <w:wordWrap/>
        <w:overflowPunct/>
        <w:topLinePunct w:val="0"/>
        <w:autoSpaceDE/>
        <w:autoSpaceDN/>
        <w:bidi w:val="0"/>
        <w:adjustRightInd/>
        <w:snapToGrid/>
        <w:spacing w:beforeAutospacing="0" w:after="195" w:afterAutospacing="0" w:line="540" w:lineRule="exact"/>
        <w:ind w:firstLine="480" w:firstLineChars="200"/>
        <w:textAlignment w:val="auto"/>
        <w:rPr>
          <w:rStyle w:val="32"/>
          <w:rFonts w:ascii="宋体" w:hAnsi="宋体" w:eastAsia="宋体" w:cs="宋体"/>
          <w:color w:val="000000"/>
          <w:shd w:val="clear" w:color="auto" w:fill="FFFFFF"/>
        </w:rPr>
      </w:pPr>
      <w:r>
        <w:rPr>
          <w:rStyle w:val="32"/>
          <w:rFonts w:hint="eastAsia" w:ascii="宋体" w:hAnsi="宋体" w:eastAsia="宋体" w:cs="宋体"/>
          <w:color w:val="000000"/>
          <w:shd w:val="clear" w:color="auto" w:fill="FFFFFF"/>
        </w:rPr>
        <w:t>五、报名须知：</w:t>
      </w:r>
    </w:p>
    <w:p>
      <w:pPr>
        <w:pStyle w:val="26"/>
        <w:keepNext w:val="0"/>
        <w:keepLines w:val="0"/>
        <w:pageBreakBefore w:val="0"/>
        <w:widowControl/>
        <w:shd w:val="clear" w:color="auto" w:fill="FFFFFF"/>
        <w:kinsoku/>
        <w:wordWrap/>
        <w:overflowPunct/>
        <w:topLinePunct w:val="0"/>
        <w:autoSpaceDE/>
        <w:autoSpaceDN/>
        <w:bidi w:val="0"/>
        <w:adjustRightInd/>
        <w:snapToGrid/>
        <w:spacing w:beforeAutospacing="0" w:after="195" w:afterAutospacing="0" w:line="540" w:lineRule="exact"/>
        <w:ind w:firstLine="480" w:firstLineChars="200"/>
        <w:textAlignment w:val="auto"/>
      </w:pPr>
      <w:r>
        <w:rPr>
          <w:rFonts w:hint="eastAsia" w:ascii="宋体" w:hAnsi="宋体" w:eastAsia="宋体" w:cs="宋体"/>
          <w:color w:val="000000"/>
          <w:shd w:val="clear" w:color="auto" w:fill="FFFFFF"/>
        </w:rPr>
        <w:t>1、报名时间：202</w:t>
      </w:r>
      <w:r>
        <w:rPr>
          <w:rFonts w:hint="eastAsia" w:ascii="宋体" w:hAnsi="宋体" w:eastAsia="宋体" w:cs="宋体"/>
          <w:color w:val="000000"/>
          <w:shd w:val="clear" w:color="auto" w:fill="FFFFFF"/>
          <w:lang w:val="en-US" w:eastAsia="zh-CN"/>
        </w:rPr>
        <w:t>3</w:t>
      </w:r>
      <w:r>
        <w:rPr>
          <w:rFonts w:hint="eastAsia" w:ascii="宋体" w:hAnsi="宋体" w:eastAsia="宋体" w:cs="宋体"/>
          <w:color w:val="000000"/>
          <w:shd w:val="clear" w:color="auto" w:fill="FFFFFF"/>
        </w:rPr>
        <w:t>年</w:t>
      </w:r>
      <w:r>
        <w:rPr>
          <w:rFonts w:hint="eastAsia" w:ascii="宋体" w:hAnsi="宋体" w:eastAsia="宋体" w:cs="宋体"/>
          <w:color w:val="000000"/>
          <w:shd w:val="clear" w:color="auto" w:fill="FFFFFF"/>
          <w:lang w:val="en-US" w:eastAsia="zh-CN"/>
        </w:rPr>
        <w:t>10</w:t>
      </w:r>
      <w:r>
        <w:rPr>
          <w:rFonts w:hint="eastAsia" w:ascii="宋体" w:hAnsi="宋体" w:eastAsia="宋体" w:cs="宋体"/>
          <w:color w:val="000000"/>
          <w:shd w:val="clear" w:color="auto" w:fill="FFFFFF"/>
        </w:rPr>
        <w:t>月</w:t>
      </w:r>
      <w:r>
        <w:rPr>
          <w:rFonts w:hint="eastAsia" w:ascii="宋体" w:hAnsi="宋体" w:eastAsia="宋体" w:cs="宋体"/>
          <w:color w:val="000000"/>
          <w:shd w:val="clear" w:color="auto" w:fill="FFFFFF"/>
          <w:lang w:val="en-US" w:eastAsia="zh-CN"/>
        </w:rPr>
        <w:t>9</w:t>
      </w:r>
      <w:r>
        <w:rPr>
          <w:rFonts w:hint="eastAsia" w:ascii="宋体" w:hAnsi="宋体" w:eastAsia="宋体" w:cs="宋体"/>
          <w:color w:val="000000"/>
          <w:shd w:val="clear" w:color="auto" w:fill="FFFFFF"/>
        </w:rPr>
        <w:t>日—202</w:t>
      </w:r>
      <w:r>
        <w:rPr>
          <w:rFonts w:hint="eastAsia" w:ascii="宋体" w:hAnsi="宋体" w:eastAsia="宋体" w:cs="宋体"/>
          <w:color w:val="000000"/>
          <w:shd w:val="clear" w:color="auto" w:fill="FFFFFF"/>
          <w:lang w:val="en-US" w:eastAsia="zh-CN"/>
        </w:rPr>
        <w:t>3</w:t>
      </w:r>
      <w:r>
        <w:rPr>
          <w:rFonts w:hint="eastAsia" w:ascii="宋体" w:hAnsi="宋体" w:eastAsia="宋体" w:cs="宋体"/>
          <w:color w:val="000000"/>
          <w:shd w:val="clear" w:color="auto" w:fill="FFFFFF"/>
        </w:rPr>
        <w:t>年</w:t>
      </w:r>
      <w:r>
        <w:rPr>
          <w:rFonts w:hint="eastAsia" w:ascii="宋体" w:hAnsi="宋体" w:eastAsia="宋体" w:cs="宋体"/>
          <w:color w:val="000000"/>
          <w:shd w:val="clear" w:color="auto" w:fill="FFFFFF"/>
          <w:lang w:val="en-US" w:eastAsia="zh-CN"/>
        </w:rPr>
        <w:t>10</w:t>
      </w:r>
      <w:r>
        <w:rPr>
          <w:rFonts w:hint="eastAsia" w:ascii="宋体" w:hAnsi="宋体" w:eastAsia="宋体" w:cs="宋体"/>
          <w:color w:val="000000"/>
          <w:shd w:val="clear" w:color="auto" w:fill="FFFFFF"/>
        </w:rPr>
        <w:t>月</w:t>
      </w:r>
      <w:r>
        <w:rPr>
          <w:rFonts w:hint="eastAsia" w:ascii="宋体" w:hAnsi="宋体" w:eastAsia="宋体" w:cs="宋体"/>
          <w:color w:val="000000"/>
          <w:shd w:val="clear" w:color="auto" w:fill="FFFFFF"/>
          <w:lang w:val="en-US" w:eastAsia="zh-CN"/>
        </w:rPr>
        <w:t>1</w:t>
      </w:r>
      <w:r>
        <w:rPr>
          <w:rFonts w:hint="eastAsia" w:ascii="宋体" w:hAnsi="宋体" w:cs="宋体"/>
          <w:color w:val="000000"/>
          <w:shd w:val="clear" w:color="auto" w:fill="FFFFFF"/>
          <w:lang w:val="en-US" w:eastAsia="zh-CN"/>
        </w:rPr>
        <w:t>2</w:t>
      </w:r>
      <w:bookmarkStart w:id="89" w:name="_GoBack"/>
      <w:bookmarkEnd w:id="89"/>
      <w:r>
        <w:rPr>
          <w:rFonts w:hint="eastAsia" w:ascii="宋体" w:hAnsi="宋体" w:eastAsia="宋体" w:cs="宋体"/>
          <w:color w:val="000000"/>
          <w:shd w:val="clear" w:color="auto" w:fill="FFFFFF"/>
        </w:rPr>
        <w:t>日</w:t>
      </w:r>
    </w:p>
    <w:p>
      <w:pPr>
        <w:pStyle w:val="26"/>
        <w:keepNext w:val="0"/>
        <w:keepLines w:val="0"/>
        <w:pageBreakBefore w:val="0"/>
        <w:widowControl/>
        <w:shd w:val="clear" w:color="auto" w:fill="FFFFFF"/>
        <w:kinsoku/>
        <w:wordWrap/>
        <w:overflowPunct/>
        <w:topLinePunct w:val="0"/>
        <w:autoSpaceDE/>
        <w:autoSpaceDN/>
        <w:bidi w:val="0"/>
        <w:adjustRightInd/>
        <w:snapToGrid/>
        <w:spacing w:beforeAutospacing="0" w:after="195" w:afterAutospacing="0" w:line="540" w:lineRule="exact"/>
        <w:ind w:firstLine="480" w:firstLineChars="200"/>
        <w:textAlignment w:val="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（工作日内上午：</w:t>
      </w:r>
      <w:r>
        <w:rPr>
          <w:rFonts w:ascii="宋体" w:hAnsi="宋体" w:eastAsia="宋体" w:cs="宋体"/>
          <w:color w:val="000000"/>
          <w:shd w:val="clear" w:color="auto" w:fill="FFFFFF"/>
        </w:rPr>
        <w:t>9</w:t>
      </w:r>
      <w:r>
        <w:rPr>
          <w:rFonts w:hint="eastAsia" w:ascii="宋体" w:hAnsi="宋体" w:eastAsia="宋体" w:cs="宋体"/>
          <w:color w:val="000000"/>
          <w:shd w:val="clear" w:color="auto" w:fill="FFFFFF"/>
        </w:rPr>
        <w:t>:</w:t>
      </w:r>
      <w:r>
        <w:rPr>
          <w:rFonts w:ascii="宋体" w:hAnsi="宋体" w:eastAsia="宋体" w:cs="宋体"/>
          <w:color w:val="000000"/>
          <w:shd w:val="clear" w:color="auto" w:fill="FFFFFF"/>
        </w:rPr>
        <w:t>0</w:t>
      </w:r>
      <w:r>
        <w:rPr>
          <w:rFonts w:hint="eastAsia" w:ascii="宋体" w:hAnsi="宋体" w:eastAsia="宋体" w:cs="宋体"/>
          <w:color w:val="000000"/>
          <w:shd w:val="clear" w:color="auto" w:fill="FFFFFF"/>
        </w:rPr>
        <w:t>0-1</w:t>
      </w:r>
      <w:r>
        <w:rPr>
          <w:rFonts w:ascii="宋体" w:hAnsi="宋体" w:eastAsia="宋体" w:cs="宋体"/>
          <w:color w:val="000000"/>
          <w:shd w:val="clear" w:color="auto" w:fill="FFFFFF"/>
        </w:rPr>
        <w:t>1</w:t>
      </w:r>
      <w:r>
        <w:rPr>
          <w:rFonts w:hint="eastAsia" w:ascii="宋体" w:hAnsi="宋体" w:eastAsia="宋体" w:cs="宋体"/>
          <w:color w:val="000000"/>
          <w:shd w:val="clear" w:color="auto" w:fill="FFFFFF"/>
        </w:rPr>
        <w:t>:</w:t>
      </w:r>
      <w:r>
        <w:rPr>
          <w:rFonts w:ascii="宋体" w:hAnsi="宋体" w:eastAsia="宋体" w:cs="宋体"/>
          <w:color w:val="000000"/>
          <w:shd w:val="clear" w:color="auto" w:fill="FFFFFF"/>
        </w:rPr>
        <w:t>0</w:t>
      </w:r>
      <w:r>
        <w:rPr>
          <w:rFonts w:hint="eastAsia" w:ascii="宋体" w:hAnsi="宋体" w:eastAsia="宋体" w:cs="宋体"/>
          <w:color w:val="000000"/>
          <w:shd w:val="clear" w:color="auto" w:fill="FFFFFF"/>
        </w:rPr>
        <w:t>0，下午：2:30-</w:t>
      </w:r>
      <w:r>
        <w:rPr>
          <w:rFonts w:ascii="宋体" w:hAnsi="宋体" w:eastAsia="宋体" w:cs="宋体"/>
          <w:color w:val="000000"/>
          <w:shd w:val="clear" w:color="auto" w:fill="FFFFFF"/>
        </w:rPr>
        <w:t>4</w:t>
      </w:r>
      <w:r>
        <w:rPr>
          <w:rFonts w:hint="eastAsia" w:ascii="宋体" w:hAnsi="宋体" w:eastAsia="宋体" w:cs="宋体"/>
          <w:color w:val="000000"/>
          <w:shd w:val="clear" w:color="auto" w:fill="FFFFFF"/>
        </w:rPr>
        <w:t>:</w:t>
      </w:r>
      <w:r>
        <w:rPr>
          <w:rFonts w:ascii="宋体" w:hAnsi="宋体" w:eastAsia="宋体" w:cs="宋体"/>
          <w:color w:val="000000"/>
          <w:shd w:val="clear" w:color="auto" w:fill="FFFFFF"/>
        </w:rPr>
        <w:t>30</w:t>
      </w:r>
      <w:r>
        <w:rPr>
          <w:rFonts w:hint="eastAsia" w:ascii="宋体" w:hAnsi="宋体" w:eastAsia="宋体" w:cs="宋体"/>
          <w:color w:val="000000"/>
          <w:shd w:val="clear" w:color="auto" w:fill="FFFFFF"/>
        </w:rPr>
        <w:t>）</w:t>
      </w:r>
    </w:p>
    <w:p>
      <w:pPr>
        <w:pStyle w:val="26"/>
        <w:keepNext w:val="0"/>
        <w:keepLines w:val="0"/>
        <w:pageBreakBefore w:val="0"/>
        <w:widowControl/>
        <w:shd w:val="clear" w:color="auto" w:fill="FFFFFF"/>
        <w:kinsoku/>
        <w:wordWrap/>
        <w:overflowPunct/>
        <w:topLinePunct w:val="0"/>
        <w:autoSpaceDE/>
        <w:autoSpaceDN/>
        <w:bidi w:val="0"/>
        <w:adjustRightInd/>
        <w:snapToGrid/>
        <w:spacing w:beforeAutospacing="0" w:after="195" w:afterAutospacing="0" w:line="540" w:lineRule="exact"/>
        <w:ind w:firstLine="480" w:firstLineChars="200"/>
        <w:textAlignment w:val="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2、报名地点：赣江新区人民医院行政楼南楼</w:t>
      </w:r>
      <w:r>
        <w:rPr>
          <w:rFonts w:ascii="宋体" w:hAnsi="宋体" w:eastAsia="宋体" w:cs="宋体"/>
          <w:color w:val="000000"/>
          <w:shd w:val="clear" w:color="auto" w:fill="FFFFFF"/>
        </w:rPr>
        <w:t>5</w:t>
      </w:r>
      <w:r>
        <w:rPr>
          <w:rFonts w:hint="eastAsia" w:ascii="宋体" w:hAnsi="宋体" w:eastAsia="宋体" w:cs="宋体"/>
          <w:color w:val="000000"/>
          <w:shd w:val="clear" w:color="auto" w:fill="FFFFFF"/>
        </w:rPr>
        <w:t>楼后勤保障处</w:t>
      </w:r>
    </w:p>
    <w:p>
      <w:pPr>
        <w:pStyle w:val="26"/>
        <w:keepNext w:val="0"/>
        <w:keepLines w:val="0"/>
        <w:pageBreakBefore w:val="0"/>
        <w:widowControl/>
        <w:shd w:val="clear" w:color="auto" w:fill="FFFFFF"/>
        <w:kinsoku/>
        <w:wordWrap/>
        <w:overflowPunct/>
        <w:topLinePunct w:val="0"/>
        <w:autoSpaceDE/>
        <w:autoSpaceDN/>
        <w:bidi w:val="0"/>
        <w:adjustRightInd/>
        <w:snapToGrid/>
        <w:spacing w:beforeAutospacing="0" w:after="195" w:afterAutospacing="0" w:line="540" w:lineRule="exact"/>
        <w:ind w:firstLine="480" w:firstLineChars="200"/>
        <w:textAlignment w:val="auto"/>
        <w:rPr>
          <w:rFonts w:asciiTheme="majorEastAsia" w:hAnsiTheme="majorEastAsia" w:eastAsiaTheme="majorEastAsia" w:cstheme="majorEastAsia"/>
          <w:color w:val="000000"/>
          <w:sz w:val="44"/>
          <w:szCs w:val="44"/>
          <w:shd w:val="clear" w:color="auto" w:fill="FFFFFF"/>
        </w:rPr>
      </w:pPr>
      <w:r>
        <w:rPr>
          <w:rFonts w:hint="eastAsia" w:ascii="宋体" w:hAnsi="宋体" w:eastAsia="宋体" w:cs="宋体"/>
          <w:color w:val="000000"/>
          <w:shd w:val="clear" w:color="auto" w:fill="FFFFFF"/>
        </w:rPr>
        <w:t>3、联系人：</w:t>
      </w:r>
      <w:r>
        <w:rPr>
          <w:rFonts w:hint="eastAsia" w:ascii="宋体" w:hAnsi="宋体" w:eastAsia="宋体" w:cs="宋体"/>
          <w:color w:val="000000"/>
          <w:shd w:val="clear" w:color="auto" w:fill="FFFFFF"/>
          <w:lang w:val="en-US" w:eastAsia="zh-CN"/>
        </w:rPr>
        <w:t>赵</w:t>
      </w:r>
      <w:r>
        <w:rPr>
          <w:rFonts w:hint="eastAsia" w:ascii="宋体" w:hAnsi="宋体" w:eastAsia="宋体" w:cs="宋体"/>
          <w:color w:val="000000"/>
          <w:shd w:val="clear" w:color="auto" w:fill="FFFFFF"/>
        </w:rPr>
        <w:t>老师                联系电话：</w:t>
      </w:r>
      <w:r>
        <w:rPr>
          <w:rFonts w:ascii="宋体" w:hAnsi="宋体" w:eastAsia="宋体" w:cs="宋体"/>
          <w:color w:val="000000"/>
          <w:shd w:val="clear" w:color="auto" w:fill="FFFFFF"/>
        </w:rPr>
        <w:t>0791-88385349</w:t>
      </w:r>
    </w:p>
    <w:p>
      <w:pPr>
        <w:pStyle w:val="45"/>
        <w:numPr>
          <w:ilvl w:val="0"/>
          <w:numId w:val="0"/>
        </w:numPr>
        <w:ind w:leftChars="-200"/>
        <w:rPr>
          <w:rFonts w:hint="eastAsia"/>
          <w:color w:val="000000" w:themeColor="text1"/>
          <w:szCs w:val="24"/>
          <w14:textFill>
            <w14:solidFill>
              <w14:schemeClr w14:val="tx1"/>
            </w14:solidFill>
          </w14:textFill>
        </w:rPr>
      </w:pPr>
    </w:p>
    <w:p>
      <w:pPr>
        <w:pStyle w:val="2"/>
      </w:pPr>
    </w:p>
    <w:p/>
    <w:p>
      <w:pPr>
        <w:pStyle w:val="2"/>
      </w:pPr>
    </w:p>
    <w:p>
      <w:pPr>
        <w:rPr>
          <w:b/>
          <w:bCs/>
          <w:sz w:val="48"/>
          <w:szCs w:val="48"/>
        </w:rPr>
      </w:pPr>
      <w:r>
        <w:rPr>
          <w:rFonts w:hint="eastAsia"/>
          <w:color w:val="000000" w:themeColor="text1"/>
          <w:szCs w:val="24"/>
          <w14:textFill>
            <w14:solidFill>
              <w14:schemeClr w14:val="tx1"/>
            </w14:solidFill>
          </w14:textFill>
        </w:rPr>
        <w:t>附件：</w:t>
      </w:r>
    </w:p>
    <w:p>
      <w:pPr>
        <w:jc w:val="center"/>
        <w:rPr>
          <w:b/>
          <w:bCs/>
          <w:sz w:val="48"/>
          <w:szCs w:val="48"/>
        </w:rPr>
      </w:pPr>
      <w:r>
        <w:rPr>
          <w:rFonts w:hint="eastAsia"/>
          <w:b/>
          <w:bCs/>
          <w:sz w:val="48"/>
          <w:szCs w:val="48"/>
        </w:rPr>
        <w:t>报名登记表</w:t>
      </w:r>
    </w:p>
    <w:p>
      <w:pPr>
        <w:jc w:val="center"/>
        <w:rPr>
          <w:b/>
          <w:bCs/>
          <w:sz w:val="48"/>
          <w:szCs w:val="48"/>
        </w:rPr>
      </w:pPr>
    </w:p>
    <w:tbl>
      <w:tblPr>
        <w:tblStyle w:val="30"/>
        <w:tblW w:w="8309"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258" w:type="dxa"/>
            <w:vAlign w:val="center"/>
          </w:tcPr>
          <w:p>
            <w:pPr>
              <w:jc w:val="center"/>
              <w:rPr>
                <w:sz w:val="28"/>
                <w:szCs w:val="28"/>
              </w:rPr>
            </w:pPr>
            <w:r>
              <w:rPr>
                <w:rFonts w:hint="eastAsia"/>
                <w:sz w:val="28"/>
                <w:szCs w:val="28"/>
              </w:rPr>
              <w:t>项目名称</w:t>
            </w:r>
          </w:p>
        </w:tc>
        <w:tc>
          <w:tcPr>
            <w:tcW w:w="6051" w:type="dxa"/>
            <w:vAlign w:val="center"/>
          </w:tcPr>
          <w:p>
            <w:pPr>
              <w:pStyle w:val="45"/>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58" w:type="dxa"/>
          </w:tcPr>
          <w:p>
            <w:pPr>
              <w:jc w:val="center"/>
              <w:rPr>
                <w:sz w:val="28"/>
                <w:szCs w:val="28"/>
              </w:rPr>
            </w:pPr>
            <w:r>
              <w:rPr>
                <w:rFonts w:hint="eastAsia"/>
                <w:sz w:val="28"/>
                <w:szCs w:val="28"/>
              </w:rPr>
              <w:t>报名单位名称</w:t>
            </w:r>
          </w:p>
        </w:tc>
        <w:tc>
          <w:tcPr>
            <w:tcW w:w="605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258" w:type="dxa"/>
          </w:tcPr>
          <w:p>
            <w:pPr>
              <w:jc w:val="center"/>
              <w:rPr>
                <w:sz w:val="28"/>
                <w:szCs w:val="28"/>
              </w:rPr>
            </w:pPr>
            <w:r>
              <w:rPr>
                <w:rFonts w:hint="eastAsia"/>
                <w:sz w:val="28"/>
                <w:szCs w:val="28"/>
              </w:rPr>
              <w:t>报名单位地址</w:t>
            </w:r>
          </w:p>
        </w:tc>
        <w:tc>
          <w:tcPr>
            <w:tcW w:w="605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jc w:val="center"/>
              <w:rPr>
                <w:sz w:val="28"/>
                <w:szCs w:val="28"/>
              </w:rPr>
            </w:pPr>
            <w:r>
              <w:rPr>
                <w:rFonts w:hint="eastAsia"/>
                <w:sz w:val="28"/>
                <w:szCs w:val="28"/>
              </w:rPr>
              <w:t>法人代表</w:t>
            </w:r>
          </w:p>
        </w:tc>
        <w:tc>
          <w:tcPr>
            <w:tcW w:w="605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jc w:val="center"/>
              <w:rPr>
                <w:sz w:val="28"/>
                <w:szCs w:val="28"/>
              </w:rPr>
            </w:pPr>
            <w:r>
              <w:rPr>
                <w:rFonts w:hint="eastAsia"/>
                <w:sz w:val="28"/>
                <w:szCs w:val="28"/>
              </w:rPr>
              <w:t>被授权人</w:t>
            </w:r>
          </w:p>
        </w:tc>
        <w:tc>
          <w:tcPr>
            <w:tcW w:w="605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jc w:val="center"/>
              <w:rPr>
                <w:sz w:val="28"/>
                <w:szCs w:val="28"/>
              </w:rPr>
            </w:pPr>
            <w:r>
              <w:rPr>
                <w:rFonts w:hint="eastAsia"/>
                <w:sz w:val="28"/>
                <w:szCs w:val="28"/>
              </w:rPr>
              <w:t>身份证号</w:t>
            </w:r>
          </w:p>
        </w:tc>
        <w:tc>
          <w:tcPr>
            <w:tcW w:w="605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jc w:val="center"/>
              <w:rPr>
                <w:sz w:val="28"/>
                <w:szCs w:val="28"/>
              </w:rPr>
            </w:pPr>
            <w:r>
              <w:rPr>
                <w:rFonts w:hint="eastAsia"/>
                <w:sz w:val="28"/>
                <w:szCs w:val="28"/>
              </w:rPr>
              <w:t>联系电话</w:t>
            </w:r>
          </w:p>
        </w:tc>
        <w:tc>
          <w:tcPr>
            <w:tcW w:w="605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jc w:val="center"/>
              <w:rPr>
                <w:sz w:val="28"/>
                <w:szCs w:val="28"/>
              </w:rPr>
            </w:pPr>
            <w:r>
              <w:rPr>
                <w:rFonts w:hint="eastAsia"/>
                <w:sz w:val="28"/>
                <w:szCs w:val="28"/>
              </w:rPr>
              <w:t>报名日期</w:t>
            </w:r>
          </w:p>
        </w:tc>
        <w:tc>
          <w:tcPr>
            <w:tcW w:w="605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jc w:val="center"/>
              <w:rPr>
                <w:sz w:val="28"/>
                <w:szCs w:val="28"/>
              </w:rPr>
            </w:pPr>
            <w:r>
              <w:rPr>
                <w:rFonts w:hint="eastAsia"/>
                <w:sz w:val="28"/>
                <w:szCs w:val="28"/>
              </w:rPr>
              <w:t>（</w:t>
            </w:r>
            <w:r>
              <w:rPr>
                <w:sz w:val="28"/>
                <w:szCs w:val="28"/>
              </w:rPr>
              <w:t>E</w:t>
            </w:r>
            <w:r>
              <w:rPr>
                <w:rFonts w:hint="eastAsia"/>
                <w:sz w:val="28"/>
                <w:szCs w:val="28"/>
              </w:rPr>
              <w:t>mail）</w:t>
            </w:r>
          </w:p>
        </w:tc>
        <w:tc>
          <w:tcPr>
            <w:tcW w:w="605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9" w:type="dxa"/>
            <w:gridSpan w:val="2"/>
          </w:tcPr>
          <w:p>
            <w:pPr>
              <w:rPr>
                <w:sz w:val="28"/>
                <w:szCs w:val="28"/>
              </w:rPr>
            </w:pPr>
            <w:r>
              <w:rPr>
                <w:rFonts w:hint="eastAsia"/>
                <w:sz w:val="28"/>
                <w:szCs w:val="28"/>
              </w:rPr>
              <w:t>备注</w:t>
            </w:r>
          </w:p>
        </w:tc>
      </w:tr>
    </w:tbl>
    <w:p>
      <w:pPr>
        <w:pStyle w:val="45"/>
        <w:ind w:firstLine="482"/>
        <w:rPr>
          <w:rFonts w:asciiTheme="minorEastAsia" w:hAnsiTheme="minorEastAsia" w:eastAsiaTheme="minorEastAsia"/>
          <w:b/>
          <w:szCs w:val="24"/>
        </w:rPr>
      </w:pPr>
    </w:p>
    <w:p>
      <w:pPr>
        <w:rPr>
          <w:color w:val="000000" w:themeColor="text1"/>
          <w14:textFill>
            <w14:solidFill>
              <w14:schemeClr w14:val="tx1"/>
            </w14:solidFill>
          </w14:textFill>
        </w:rPr>
        <w:sectPr>
          <w:footerReference r:id="rId9" w:type="first"/>
          <w:pgSz w:w="11907" w:h="16840"/>
          <w:pgMar w:top="1418" w:right="1418" w:bottom="1418" w:left="1814" w:header="1134" w:footer="851" w:gutter="0"/>
          <w:pgNumType w:fmt="numberInDash" w:start="1"/>
          <w:cols w:space="425" w:num="1"/>
          <w:titlePg/>
          <w:docGrid w:type="linesAndChars" w:linePitch="312" w:charSpace="0"/>
        </w:sectPr>
      </w:pPr>
    </w:p>
    <w:p>
      <w:pPr>
        <w:pStyle w:val="53"/>
        <w:spacing w:before="0"/>
        <w:rPr>
          <w:color w:val="000000" w:themeColor="text1"/>
          <w14:textFill>
            <w14:solidFill>
              <w14:schemeClr w14:val="tx1"/>
            </w14:solidFill>
          </w14:textFill>
        </w:rPr>
      </w:pPr>
      <w:bookmarkStart w:id="10" w:name="_Toc4263572"/>
      <w:bookmarkStart w:id="11" w:name="_Toc42160929"/>
      <w:bookmarkStart w:id="12" w:name="_Toc530660134"/>
      <w:r>
        <w:rPr>
          <w:rFonts w:hint="eastAsia"/>
          <w:color w:val="000000" w:themeColor="text1"/>
          <w14:textFill>
            <w14:solidFill>
              <w14:schemeClr w14:val="tx1"/>
            </w14:solidFill>
          </w14:textFill>
        </w:rPr>
        <w:t xml:space="preserve">第二章 </w:t>
      </w:r>
      <w:r>
        <w:rPr>
          <w:color w:val="000000" w:themeColor="text1"/>
          <w14:textFill>
            <w14:solidFill>
              <w14:schemeClr w14:val="tx1"/>
            </w14:solidFill>
          </w14:textFill>
        </w:rPr>
        <w:t>投标</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须知</w:t>
      </w:r>
      <w:bookmarkEnd w:id="10"/>
      <w:bookmarkEnd w:id="11"/>
      <w:bookmarkEnd w:id="12"/>
    </w:p>
    <w:p>
      <w:pPr>
        <w:pStyle w:val="51"/>
        <w:rPr>
          <w:color w:val="000000" w:themeColor="text1"/>
          <w14:textFill>
            <w14:solidFill>
              <w14:schemeClr w14:val="tx1"/>
            </w14:solidFill>
          </w14:textFill>
        </w:rPr>
      </w:pPr>
      <w:bookmarkStart w:id="13" w:name="_Toc4263573"/>
      <w:bookmarkStart w:id="14" w:name="_Toc42160930"/>
      <w:bookmarkStart w:id="15" w:name="_Toc530660135"/>
      <w:r>
        <w:rPr>
          <w:color w:val="000000" w:themeColor="text1"/>
          <w14:textFill>
            <w14:solidFill>
              <w14:schemeClr w14:val="tx1"/>
            </w14:solidFill>
          </w14:textFill>
        </w:rPr>
        <w:t>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招</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标</w:t>
      </w:r>
      <w:bookmarkEnd w:id="13"/>
      <w:bookmarkEnd w:id="14"/>
      <w:bookmarkEnd w:id="15"/>
    </w:p>
    <w:p>
      <w:pPr>
        <w:pStyle w:val="49"/>
        <w:rPr>
          <w:color w:val="000000" w:themeColor="text1"/>
          <w14:textFill>
            <w14:solidFill>
              <w14:schemeClr w14:val="tx1"/>
            </w14:solidFill>
          </w14:textFill>
        </w:rPr>
      </w:pPr>
      <w:bookmarkStart w:id="16" w:name="_Toc4263574"/>
      <w:bookmarkStart w:id="17" w:name="_Toc42160931"/>
      <w:bookmarkStart w:id="18" w:name="_Toc530660136"/>
      <w:r>
        <w:rPr>
          <w:rFonts w:hint="eastAsia"/>
          <w:color w:val="000000" w:themeColor="text1"/>
          <w14:textFill>
            <w14:solidFill>
              <w14:schemeClr w14:val="tx1"/>
            </w14:solidFill>
          </w14:textFill>
        </w:rPr>
        <w:t>（一）适用范围</w:t>
      </w:r>
      <w:bookmarkEnd w:id="16"/>
      <w:bookmarkEnd w:id="17"/>
      <w:bookmarkEnd w:id="18"/>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本招标文件仅适用于本“投标邀请”中所述相关内容的采购。</w:t>
      </w:r>
    </w:p>
    <w:p>
      <w:pPr>
        <w:pStyle w:val="49"/>
        <w:rPr>
          <w:color w:val="000000" w:themeColor="text1"/>
          <w14:textFill>
            <w14:solidFill>
              <w14:schemeClr w14:val="tx1"/>
            </w14:solidFill>
          </w14:textFill>
        </w:rPr>
      </w:pPr>
      <w:bookmarkStart w:id="19" w:name="_Toc530660137"/>
      <w:bookmarkStart w:id="20" w:name="_Toc42160932"/>
      <w:bookmarkStart w:id="21" w:name="_Toc4263575"/>
      <w:r>
        <w:rPr>
          <w:rFonts w:hint="eastAsia"/>
          <w:color w:val="000000" w:themeColor="text1"/>
          <w14:textFill>
            <w14:solidFill>
              <w14:schemeClr w14:val="tx1"/>
            </w14:solidFill>
          </w14:textFill>
        </w:rPr>
        <w:t>（二）合格投标人</w:t>
      </w:r>
      <w:bookmarkEnd w:id="19"/>
      <w:bookmarkEnd w:id="20"/>
      <w:bookmarkEnd w:id="21"/>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投标人的资格条件： 详见“投标邀请”</w:t>
      </w:r>
    </w:p>
    <w:p>
      <w:pPr>
        <w:pStyle w:val="49"/>
        <w:rPr>
          <w:color w:val="000000" w:themeColor="text1"/>
          <w14:textFill>
            <w14:solidFill>
              <w14:schemeClr w14:val="tx1"/>
            </w14:solidFill>
          </w14:textFill>
        </w:rPr>
      </w:pPr>
      <w:bookmarkStart w:id="22" w:name="_Toc4263576"/>
      <w:bookmarkStart w:id="23" w:name="_Toc530660138"/>
      <w:bookmarkStart w:id="24" w:name="_Toc42160933"/>
      <w:r>
        <w:rPr>
          <w:rFonts w:hint="eastAsia"/>
          <w:color w:val="000000" w:themeColor="text1"/>
          <w14:textFill>
            <w14:solidFill>
              <w14:schemeClr w14:val="tx1"/>
            </w14:solidFill>
          </w14:textFill>
        </w:rPr>
        <w:t>（三）投标费用</w:t>
      </w:r>
      <w:bookmarkEnd w:id="22"/>
      <w:bookmarkEnd w:id="23"/>
      <w:bookmarkEnd w:id="24"/>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投标人应自行承担所有与准备和参加投标有关的全部费用。不论投标的结果如何，采购方均无义务和责任承担这些费用。</w:t>
      </w:r>
    </w:p>
    <w:p>
      <w:pPr>
        <w:pStyle w:val="49"/>
        <w:rPr>
          <w:color w:val="000000" w:themeColor="text1"/>
          <w14:textFill>
            <w14:solidFill>
              <w14:schemeClr w14:val="tx1"/>
            </w14:solidFill>
          </w14:textFill>
        </w:rPr>
      </w:pPr>
      <w:bookmarkStart w:id="25" w:name="_Toc42160934"/>
      <w:bookmarkStart w:id="26" w:name="_Toc4263577"/>
      <w:bookmarkStart w:id="27" w:name="_Toc530660139"/>
      <w:r>
        <w:rPr>
          <w:rFonts w:hint="eastAsia"/>
          <w:color w:val="000000" w:themeColor="text1"/>
          <w14:textFill>
            <w14:solidFill>
              <w14:schemeClr w14:val="tx1"/>
            </w14:solidFill>
          </w14:textFill>
        </w:rPr>
        <w:t>（四）投标人代表</w:t>
      </w:r>
      <w:bookmarkEnd w:id="25"/>
      <w:bookmarkEnd w:id="26"/>
      <w:bookmarkEnd w:id="27"/>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指全权代表投标人参加投标活动并签署投标文件的人。如果投标人代表不是法定代表人，须持有《法定代表人授权书》。</w:t>
      </w:r>
    </w:p>
    <w:p>
      <w:pPr>
        <w:pStyle w:val="49"/>
        <w:rPr>
          <w:color w:val="000000" w:themeColor="text1"/>
          <w14:textFill>
            <w14:solidFill>
              <w14:schemeClr w14:val="tx1"/>
            </w14:solidFill>
          </w14:textFill>
        </w:rPr>
      </w:pPr>
      <w:bookmarkStart w:id="28" w:name="_Toc4263578"/>
      <w:bookmarkStart w:id="29" w:name="_Toc42160935"/>
      <w:bookmarkStart w:id="30" w:name="_Toc530660140"/>
      <w:r>
        <w:rPr>
          <w:rFonts w:hint="eastAsia"/>
          <w:color w:val="000000" w:themeColor="text1"/>
          <w14:textFill>
            <w14:solidFill>
              <w14:schemeClr w14:val="tx1"/>
            </w14:solidFill>
          </w14:textFill>
        </w:rPr>
        <w:t>（五）招标文件的构成</w:t>
      </w:r>
      <w:bookmarkEnd w:id="28"/>
      <w:bookmarkEnd w:id="29"/>
      <w:bookmarkEnd w:id="30"/>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要求提供的相关服务、招标过程和合同条款在招标文件中均有说明。招标文件共六章，各章的内容如下：</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第一章 投标邀请</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第二章 投标人须知</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第三章 投标文件格式</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第四章 拟签订的合同文本</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第五章 采购需求</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第六章 评标方法与评标标准</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除非有特殊要求，招标文件不单独提供招标所需服务使用地的自然环境、气候条件、公用设施等情况，投标人被视为熟悉上述与履行合同有关的一切情况。</w:t>
      </w:r>
    </w:p>
    <w:p>
      <w:pPr>
        <w:pStyle w:val="49"/>
        <w:rPr>
          <w:color w:val="000000" w:themeColor="text1"/>
          <w14:textFill>
            <w14:solidFill>
              <w14:schemeClr w14:val="tx1"/>
            </w14:solidFill>
          </w14:textFill>
        </w:rPr>
      </w:pPr>
      <w:bookmarkStart w:id="31" w:name="_Toc530660141"/>
      <w:bookmarkStart w:id="32" w:name="_Toc4263579"/>
      <w:bookmarkStart w:id="33" w:name="_Toc42160936"/>
      <w:r>
        <w:rPr>
          <w:rFonts w:hint="eastAsia"/>
          <w:color w:val="000000" w:themeColor="text1"/>
          <w14:textFill>
            <w14:solidFill>
              <w14:schemeClr w14:val="tx1"/>
            </w14:solidFill>
          </w14:textFill>
        </w:rPr>
        <w:t>（六）投标人应当提交的资格、资信证明文件的要求</w:t>
      </w:r>
      <w:bookmarkEnd w:id="31"/>
      <w:bookmarkEnd w:id="32"/>
      <w:bookmarkEnd w:id="33"/>
    </w:p>
    <w:p>
      <w:pPr>
        <w:pStyle w:val="45"/>
        <w:ind w:firstLine="480"/>
        <w:rPr>
          <w:rFonts w:cs="Times New Roman"/>
          <w:color w:val="000000"/>
        </w:rPr>
      </w:pPr>
      <w:bookmarkStart w:id="34" w:name="_Toc530660142"/>
      <w:bookmarkStart w:id="35" w:name="_Toc42160937"/>
      <w:bookmarkStart w:id="36" w:name="_Toc4263580"/>
      <w:r>
        <w:rPr>
          <w:rFonts w:hint="eastAsia" w:cs="Times New Roman"/>
          <w:color w:val="000000"/>
        </w:rPr>
        <w:t>1、投标人的有效营业执照。</w:t>
      </w:r>
    </w:p>
    <w:p>
      <w:pPr>
        <w:pStyle w:val="45"/>
        <w:ind w:firstLine="480"/>
        <w:rPr>
          <w:rFonts w:cs="Times New Roman"/>
          <w:color w:val="000000"/>
        </w:rPr>
      </w:pPr>
      <w:r>
        <w:rPr>
          <w:rFonts w:hint="eastAsia" w:cs="Times New Roman"/>
          <w:color w:val="000000"/>
        </w:rPr>
        <w:t>2、投标公司单位介绍信（加盖公章、手写无效）。</w:t>
      </w:r>
    </w:p>
    <w:p>
      <w:pPr>
        <w:pStyle w:val="45"/>
        <w:ind w:firstLine="480"/>
        <w:rPr>
          <w:rFonts w:cs="Times New Roman"/>
          <w:color w:val="000000"/>
        </w:rPr>
      </w:pPr>
      <w:r>
        <w:rPr>
          <w:rFonts w:hint="eastAsia" w:cs="Times New Roman"/>
          <w:color w:val="000000"/>
        </w:rPr>
        <w:t>3、法定代表人和投标人有效身份证复印件。</w:t>
      </w:r>
    </w:p>
    <w:p>
      <w:pPr>
        <w:pStyle w:val="45"/>
        <w:ind w:firstLine="436" w:firstLineChars="182"/>
        <w:rPr>
          <w:rFonts w:cs="Times New Roman"/>
          <w:color w:val="000000"/>
          <w:szCs w:val="24"/>
        </w:rPr>
      </w:pPr>
      <w:r>
        <w:rPr>
          <w:rFonts w:hint="eastAsia" w:cs="Times New Roman"/>
          <w:color w:val="000000"/>
          <w:szCs w:val="24"/>
        </w:rPr>
        <w:t>4、</w:t>
      </w:r>
      <w:r>
        <w:rPr>
          <w:rFonts w:hint="eastAsia" w:cs="Times New Roman"/>
          <w:color w:val="000000"/>
          <w:szCs w:val="24"/>
          <w:highlight w:val="yellow"/>
        </w:rPr>
        <w:t>具有良好的信誉及履行合同所必须的设备和专业技术能力的承诺函（格式自拟）。</w:t>
      </w:r>
    </w:p>
    <w:p>
      <w:pPr>
        <w:pStyle w:val="45"/>
        <w:ind w:firstLine="480"/>
        <w:rPr>
          <w:rFonts w:cs="Times New Roman"/>
          <w:color w:val="000000"/>
        </w:rPr>
      </w:pPr>
      <w:r>
        <w:rPr>
          <w:rFonts w:hint="eastAsia" w:cs="Times New Roman"/>
          <w:color w:val="000000"/>
          <w:szCs w:val="24"/>
        </w:rPr>
        <w:t>5、参加政府采购活动前三年内，在经营活动中没有重大违法记录承诺函。</w:t>
      </w:r>
    </w:p>
    <w:p>
      <w:pPr>
        <w:pStyle w:val="45"/>
        <w:ind w:firstLine="480"/>
        <w:rPr>
          <w:rFonts w:cs="Times New Roman"/>
          <w:color w:val="000000"/>
        </w:rPr>
      </w:pPr>
      <w:r>
        <w:rPr>
          <w:rFonts w:hint="eastAsia" w:cs="Times New Roman"/>
          <w:color w:val="000000"/>
        </w:rPr>
        <w:t>6、其他特殊资质证明文件。</w:t>
      </w:r>
    </w:p>
    <w:p>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二、投 标</w:t>
      </w:r>
      <w:bookmarkEnd w:id="34"/>
      <w:bookmarkEnd w:id="35"/>
      <w:bookmarkEnd w:id="36"/>
    </w:p>
    <w:p>
      <w:pPr>
        <w:pStyle w:val="49"/>
        <w:rPr>
          <w:color w:val="000000" w:themeColor="text1"/>
          <w14:textFill>
            <w14:solidFill>
              <w14:schemeClr w14:val="tx1"/>
            </w14:solidFill>
          </w14:textFill>
        </w:rPr>
      </w:pPr>
      <w:bookmarkStart w:id="37" w:name="_Toc42160938"/>
      <w:bookmarkStart w:id="38" w:name="_Toc530660143"/>
      <w:bookmarkStart w:id="39" w:name="_Toc4263581"/>
      <w:r>
        <w:rPr>
          <w:rFonts w:hint="eastAsia"/>
          <w:color w:val="000000" w:themeColor="text1"/>
          <w14:textFill>
            <w14:solidFill>
              <w14:schemeClr w14:val="tx1"/>
            </w14:solidFill>
          </w14:textFill>
        </w:rPr>
        <w:t>（一）投标文件</w:t>
      </w:r>
      <w:r>
        <w:rPr>
          <w:color w:val="000000" w:themeColor="text1"/>
          <w14:textFill>
            <w14:solidFill>
              <w14:schemeClr w14:val="tx1"/>
            </w14:solidFill>
          </w14:textFill>
        </w:rPr>
        <w:t>的编制</w:t>
      </w:r>
      <w:bookmarkEnd w:id="37"/>
      <w:bookmarkEnd w:id="38"/>
      <w:bookmarkEnd w:id="39"/>
    </w:p>
    <w:p>
      <w:pPr>
        <w:pStyle w:val="45"/>
        <w:ind w:firstLine="480"/>
        <w:rPr>
          <w:color w:val="000000"/>
        </w:rPr>
      </w:pPr>
      <w:r>
        <w:rPr>
          <w:rFonts w:hint="eastAsia"/>
          <w:color w:val="000000"/>
        </w:rPr>
        <w:t>1、投标人应当按照招标文件的要求编制投标文件</w:t>
      </w:r>
      <w:r>
        <w:rPr>
          <w:rFonts w:hint="eastAsia"/>
          <w:color w:val="000000"/>
          <w:lang w:eastAsia="zh-CN"/>
        </w:rPr>
        <w:t>，</w:t>
      </w:r>
      <w:r>
        <w:rPr>
          <w:rFonts w:hint="eastAsia"/>
          <w:color w:val="FF0000"/>
          <w:sz w:val="28"/>
          <w:szCs w:val="24"/>
          <w:highlight w:val="yellow"/>
          <w:lang w:eastAsia="zh-CN"/>
        </w:rPr>
        <w:t>投标文件必须编入目录、</w:t>
      </w:r>
      <w:r>
        <w:rPr>
          <w:rFonts w:hint="eastAsia"/>
          <w:color w:val="FF0000"/>
          <w:sz w:val="28"/>
          <w:szCs w:val="24"/>
          <w:highlight w:val="yellow"/>
        </w:rPr>
        <w:t>页码</w:t>
      </w:r>
      <w:r>
        <w:rPr>
          <w:rFonts w:hint="eastAsia"/>
          <w:color w:val="FF0000"/>
          <w:sz w:val="28"/>
          <w:szCs w:val="24"/>
          <w:highlight w:val="yellow"/>
          <w:lang w:eastAsia="zh-CN"/>
        </w:rPr>
        <w:t>及胶装</w:t>
      </w:r>
      <w:r>
        <w:rPr>
          <w:rFonts w:hint="eastAsia"/>
          <w:color w:val="FF0000"/>
          <w:sz w:val="28"/>
          <w:szCs w:val="24"/>
          <w:highlight w:val="yellow"/>
        </w:rPr>
        <w:t>。</w:t>
      </w:r>
      <w:r>
        <w:rPr>
          <w:rFonts w:hint="eastAsia"/>
          <w:color w:val="000000"/>
        </w:rPr>
        <w:t>投标文件应当对招标文件提出的要求和条件作出明确响应。</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2、投标文件因字迹潦草或表达不清所引起的后果由投标人负责。</w:t>
      </w:r>
    </w:p>
    <w:p>
      <w:pPr>
        <w:pStyle w:val="49"/>
        <w:rPr>
          <w:color w:val="000000" w:themeColor="text1"/>
          <w14:textFill>
            <w14:solidFill>
              <w14:schemeClr w14:val="tx1"/>
            </w14:solidFill>
          </w14:textFill>
        </w:rPr>
      </w:pPr>
      <w:bookmarkStart w:id="40" w:name="_Toc42160939"/>
      <w:bookmarkStart w:id="41" w:name="_Toc530660144"/>
      <w:bookmarkStart w:id="42" w:name="_Toc4263582"/>
      <w:r>
        <w:rPr>
          <w:rFonts w:hint="eastAsia"/>
          <w:color w:val="000000" w:themeColor="text1"/>
          <w14:textFill>
            <w14:solidFill>
              <w14:schemeClr w14:val="tx1"/>
            </w14:solidFill>
          </w14:textFill>
        </w:rPr>
        <w:t>（二）投标文件计量单位</w:t>
      </w:r>
      <w:bookmarkEnd w:id="40"/>
      <w:bookmarkEnd w:id="41"/>
      <w:bookmarkEnd w:id="42"/>
      <w:r>
        <w:rPr>
          <w:rFonts w:hint="eastAsia"/>
          <w:color w:val="000000" w:themeColor="text1"/>
          <w14:textFill>
            <w14:solidFill>
              <w14:schemeClr w14:val="tx1"/>
            </w14:solidFill>
          </w14:textFill>
        </w:rPr>
        <w:tab/>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投标文件中所使用的计量单位, 除招标文件中有特殊要求外，应采用国家法定计量单位。</w:t>
      </w:r>
    </w:p>
    <w:p>
      <w:pPr>
        <w:pStyle w:val="49"/>
        <w:rPr>
          <w:color w:val="000000" w:themeColor="text1"/>
          <w14:textFill>
            <w14:solidFill>
              <w14:schemeClr w14:val="tx1"/>
            </w14:solidFill>
          </w14:textFill>
        </w:rPr>
      </w:pPr>
      <w:bookmarkStart w:id="43" w:name="_Toc42160940"/>
      <w:bookmarkStart w:id="44" w:name="_Toc4263583"/>
      <w:bookmarkStart w:id="45" w:name="_Toc530660145"/>
      <w:r>
        <w:rPr>
          <w:rFonts w:hint="eastAsia"/>
          <w:color w:val="000000" w:themeColor="text1"/>
          <w14:textFill>
            <w14:solidFill>
              <w14:schemeClr w14:val="tx1"/>
            </w14:solidFill>
          </w14:textFill>
        </w:rPr>
        <w:t>（三）投标文件的</w:t>
      </w:r>
      <w:r>
        <w:rPr>
          <w:color w:val="000000" w:themeColor="text1"/>
          <w14:textFill>
            <w14:solidFill>
              <w14:schemeClr w14:val="tx1"/>
            </w14:solidFill>
          </w14:textFill>
        </w:rPr>
        <w:t>构成</w:t>
      </w:r>
      <w:bookmarkEnd w:id="43"/>
      <w:bookmarkEnd w:id="44"/>
      <w:bookmarkEnd w:id="45"/>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1、投标文件一式9份，其中正本1份，副本8份。每套投标文件必须清楚标明“正本”或“副本”，若正本与副本不符，以正本为准。</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2、投标文件正、副本一并装入响应文件袋中，并在文件袋封贴处密封签章（加盖单位公章）。</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3、投标文件袋封面应按顺序标注以下内容：</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（1）项目名称。</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（2）投标人名称（盖章）。</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（3）法定代表人或委托代理人名称（签名）。</w:t>
      </w:r>
    </w:p>
    <w:p>
      <w:pPr>
        <w:pStyle w:val="49"/>
        <w:rPr>
          <w:color w:val="000000" w:themeColor="text1"/>
          <w14:textFill>
            <w14:solidFill>
              <w14:schemeClr w14:val="tx1"/>
            </w14:solidFill>
          </w14:textFill>
        </w:rPr>
      </w:pPr>
      <w:bookmarkStart w:id="46" w:name="_Toc4263584"/>
      <w:bookmarkStart w:id="47" w:name="_Toc530660146"/>
      <w:bookmarkStart w:id="48" w:name="_Toc42160941"/>
      <w:r>
        <w:rPr>
          <w:rFonts w:hint="eastAsia"/>
          <w:color w:val="000000" w:themeColor="text1"/>
          <w14:textFill>
            <w14:solidFill>
              <w14:schemeClr w14:val="tx1"/>
            </w14:solidFill>
          </w14:textFill>
        </w:rPr>
        <w:t>（四）投标报价</w:t>
      </w:r>
      <w:bookmarkEnd w:id="46"/>
      <w:bookmarkEnd w:id="47"/>
      <w:bookmarkEnd w:id="48"/>
    </w:p>
    <w:p>
      <w:pPr>
        <w:pStyle w:val="45"/>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1、投标报价由法定代表人或委托代理人签署并盖章。</w:t>
      </w:r>
    </w:p>
    <w:p>
      <w:pPr>
        <w:pStyle w:val="45"/>
        <w:ind w:firstLine="480"/>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、所有投标均以人民币报价，报价内容包含招标文件规定的完成本项目所需的设备、人员、培训、技术支持、税费等一切相关费用。</w:t>
      </w:r>
    </w:p>
    <w:p>
      <w:pPr>
        <w:pStyle w:val="45"/>
        <w:ind w:firstLine="480"/>
        <w:jc w:val="left"/>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、投标人要按开标一览表（统一格式）的内容填写产品单价、总价及其他事项。投标总价中不得包含招标文件要求以外的内容，否则，在评标时不予核减。若投标人不同意，投标无效。</w:t>
      </w:r>
    </w:p>
    <w:p>
      <w:pPr>
        <w:pStyle w:val="45"/>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4、投标总价中如缺漏招标文件所要求的内容，投标人中标后须提供，且中标价以投标报价为准。若投标人不同意，投标无效。</w:t>
      </w:r>
    </w:p>
    <w:p>
      <w:pPr>
        <w:pStyle w:val="45"/>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投标人所报的投标价在合同执行过程中是固定不变的，不得以任何理由予以变更。投标人应对所有招标内容进行投标，且只提供最优方案一套，投标人提交任何包含价格调整要求的投标将按非实质性响应投标，投标无效。</w:t>
      </w:r>
    </w:p>
    <w:p>
      <w:pPr>
        <w:pStyle w:val="45"/>
        <w:ind w:firstLine="482"/>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6、在评审过程中，评审小组可以根据招标文件和招标情况变更采购需求；如变更了采购需求，可能进行二次报价。</w:t>
      </w:r>
    </w:p>
    <w:p>
      <w:pPr>
        <w:pStyle w:val="45"/>
        <w:ind w:firstLine="482"/>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7、</w:t>
      </w:r>
      <w:r>
        <w:rPr>
          <w:b/>
          <w:color w:val="000000" w:themeColor="text1"/>
          <w14:textFill>
            <w14:solidFill>
              <w14:schemeClr w14:val="tx1"/>
            </w14:solidFill>
          </w14:textFill>
        </w:rPr>
        <w:t>本项目的最低报价不能作为中标的保证</w:t>
      </w:r>
      <w:r>
        <w:rPr>
          <w:rFonts w:hint="eastAsia"/>
          <w:b/>
          <w:color w:val="000000" w:themeColor="text1"/>
          <w14:textFill>
            <w14:solidFill>
              <w14:schemeClr w14:val="tx1"/>
            </w14:solidFill>
          </w14:textFill>
        </w:rPr>
        <w:t>。</w:t>
      </w:r>
    </w:p>
    <w:p>
      <w:pPr>
        <w:pStyle w:val="45"/>
        <w:ind w:firstLine="480"/>
        <w:jc w:val="left"/>
        <w:rPr>
          <w:color w:val="000000" w:themeColor="text1"/>
          <w14:textFill>
            <w14:solidFill>
              <w14:schemeClr w14:val="tx1"/>
            </w14:solidFill>
          </w14:textFill>
        </w:rPr>
      </w:pPr>
    </w:p>
    <w:p>
      <w:pPr>
        <w:pStyle w:val="49"/>
        <w:rPr>
          <w:color w:val="000000" w:themeColor="text1"/>
          <w14:textFill>
            <w14:solidFill>
              <w14:schemeClr w14:val="tx1"/>
            </w14:solidFill>
          </w14:textFill>
        </w:rPr>
      </w:pPr>
      <w:bookmarkStart w:id="49" w:name="_Toc530660149"/>
      <w:bookmarkStart w:id="50" w:name="_Toc4263586"/>
      <w:bookmarkStart w:id="51" w:name="_Toc42160942"/>
      <w:r>
        <w:rPr>
          <w:rFonts w:hint="eastAsia"/>
          <w:color w:val="000000" w:themeColor="text1"/>
          <w14:textFill>
            <w14:solidFill>
              <w14:schemeClr w14:val="tx1"/>
            </w14:solidFill>
          </w14:textFill>
        </w:rPr>
        <w:t>（五）分包</w:t>
      </w:r>
      <w:r>
        <w:rPr>
          <w:color w:val="000000" w:themeColor="text1"/>
          <w14:textFill>
            <w14:solidFill>
              <w14:schemeClr w14:val="tx1"/>
            </w14:solidFill>
          </w14:textFill>
        </w:rPr>
        <w:t>的规定</w:t>
      </w:r>
      <w:bookmarkEnd w:id="49"/>
      <w:bookmarkEnd w:id="50"/>
      <w:bookmarkEnd w:id="51"/>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不允许分包。</w:t>
      </w:r>
    </w:p>
    <w:p>
      <w:pPr>
        <w:pStyle w:val="49"/>
        <w:rPr>
          <w:color w:val="000000" w:themeColor="text1"/>
          <w14:textFill>
            <w14:solidFill>
              <w14:schemeClr w14:val="tx1"/>
            </w14:solidFill>
          </w14:textFill>
        </w:rPr>
      </w:pPr>
      <w:bookmarkStart w:id="52" w:name="_Toc4263587"/>
      <w:bookmarkStart w:id="53" w:name="_Toc530660150"/>
      <w:bookmarkStart w:id="54" w:name="_Toc42160943"/>
      <w:r>
        <w:rPr>
          <w:rFonts w:hint="eastAsia"/>
          <w:color w:val="000000" w:themeColor="text1"/>
          <w14:textFill>
            <w14:solidFill>
              <w14:schemeClr w14:val="tx1"/>
            </w14:solidFill>
          </w14:textFill>
        </w:rPr>
        <w:t>（六）恶意串通等行为的处理及串通投标情形的认定</w:t>
      </w:r>
      <w:bookmarkEnd w:id="52"/>
      <w:bookmarkEnd w:id="53"/>
      <w:bookmarkEnd w:id="54"/>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1、投标人应当遵循公平竞争的原则，不得恶意串通，不得妨碍其他投标人的竞争行为，不得损害采购人或者其他投标人的合法权益。在评标过程中发现投标人有上述情形的，应当认定其投标无效。</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2、有下列情形之一的，视为投标人串通投标，其投标无效：</w:t>
      </w:r>
    </w:p>
    <w:p>
      <w:pPr>
        <w:pStyle w:val="45"/>
        <w:ind w:firstLine="319" w:firstLineChars="13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（1）不同投标人的投标文件由同一单位或者个人编制。</w:t>
      </w:r>
    </w:p>
    <w:p>
      <w:pPr>
        <w:pStyle w:val="45"/>
        <w:ind w:firstLine="319" w:firstLineChars="13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（2）不同投标人委托同一单位或者个人办理投标事宜。</w:t>
      </w:r>
    </w:p>
    <w:p>
      <w:pPr>
        <w:pStyle w:val="45"/>
        <w:ind w:firstLine="319" w:firstLineChars="13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（3）不同投标人的投标文件载明的项目管理成员或者联系人员为同一人。</w:t>
      </w:r>
    </w:p>
    <w:p>
      <w:pPr>
        <w:pStyle w:val="45"/>
        <w:ind w:firstLine="319" w:firstLineChars="13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（4）不同投标人的投标文件异常一致或者投标报价呈规律性差异。</w:t>
      </w:r>
    </w:p>
    <w:p>
      <w:pPr>
        <w:pStyle w:val="45"/>
        <w:ind w:firstLine="319" w:firstLineChars="13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（5）不同投标人的投标文件相互混装。</w:t>
      </w:r>
    </w:p>
    <w:p>
      <w:pPr>
        <w:pStyle w:val="45"/>
        <w:ind w:firstLine="319" w:firstLineChars="13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（6）不同投标人的投标保证金从同一单位或者个人的账户转出。</w:t>
      </w:r>
    </w:p>
    <w:p>
      <w:pPr>
        <w:pStyle w:val="49"/>
        <w:rPr>
          <w:color w:val="000000" w:themeColor="text1"/>
          <w14:textFill>
            <w14:solidFill>
              <w14:schemeClr w14:val="tx1"/>
            </w14:solidFill>
          </w14:textFill>
        </w:rPr>
      </w:pPr>
      <w:bookmarkStart w:id="55" w:name="_Toc4263588"/>
      <w:bookmarkStart w:id="56" w:name="_Toc42160944"/>
      <w:bookmarkStart w:id="57" w:name="_Toc530660153"/>
      <w:r>
        <w:rPr>
          <w:rFonts w:hint="eastAsia"/>
          <w:color w:val="000000" w:themeColor="text1"/>
          <w14:textFill>
            <w14:solidFill>
              <w14:schemeClr w14:val="tx1"/>
            </w14:solidFill>
          </w14:textFill>
        </w:rPr>
        <w:t>（七）投标无效</w:t>
      </w:r>
      <w:bookmarkEnd w:id="55"/>
      <w:bookmarkEnd w:id="56"/>
      <w:bookmarkEnd w:id="57"/>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1、申请人所提交的申请书未对招标文件作实质性响应，或出现下列情况之一的，均按无效申请处理：</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（1）资格证明文件不全、不能响应招标文件需求的。</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（2）申请书没有法定代表人签字或委托代理人没有法定代表人签署委托书的。</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（3）文件编制不符合有关要求的。</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（4）文件正本未用不褪色的墨水书写或打印的。</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（5）文件修改处没有法定代表人或委托代理人签名并加盖公章的。</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（6）申请文件袋封贴处没有按要求密封签章的。</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2、申请书字迹潦草、表达不清的，可能会被认定为无效。</w:t>
      </w:r>
    </w:p>
    <w:p>
      <w:pPr>
        <w:pStyle w:val="45"/>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、申请人提交的申请书内容不真实，或超出其经营范围投标，或出现其他违反国家法律、法规行为的，视为无效申请。</w:t>
      </w:r>
    </w:p>
    <w:p>
      <w:pPr>
        <w:pStyle w:val="45"/>
        <w:ind w:firstLine="48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申请人报价超出采购人预算的，视为</w:t>
      </w:r>
      <w:r>
        <w:rPr>
          <w:rFonts w:hint="eastAsia"/>
          <w:color w:val="000000" w:themeColor="text1"/>
          <w14:textFill>
            <w14:solidFill>
              <w14:schemeClr w14:val="tx1"/>
            </w14:solidFill>
          </w14:textFill>
        </w:rPr>
        <w:t>无效</w:t>
      </w:r>
      <w:r>
        <w:rPr>
          <w:color w:val="000000" w:themeColor="text1"/>
          <w14:textFill>
            <w14:solidFill>
              <w14:schemeClr w14:val="tx1"/>
            </w14:solidFill>
          </w14:textFill>
        </w:rPr>
        <w:t>申请</w:t>
      </w:r>
      <w:r>
        <w:rPr>
          <w:rFonts w:hint="eastAsia"/>
          <w:color w:val="000000" w:themeColor="text1"/>
          <w14:textFill>
            <w14:solidFill>
              <w14:schemeClr w14:val="tx1"/>
            </w14:solidFill>
          </w14:textFill>
        </w:rPr>
        <w:t>。</w:t>
      </w:r>
    </w:p>
    <w:p>
      <w:pPr>
        <w:pStyle w:val="51"/>
        <w:rPr>
          <w:color w:val="000000" w:themeColor="text1"/>
          <w14:textFill>
            <w14:solidFill>
              <w14:schemeClr w14:val="tx1"/>
            </w14:solidFill>
          </w14:textFill>
        </w:rPr>
      </w:pPr>
      <w:bookmarkStart w:id="58" w:name="_Toc530660155"/>
      <w:bookmarkStart w:id="59" w:name="_Toc42160945"/>
      <w:bookmarkStart w:id="60" w:name="_Toc4263589"/>
      <w:r>
        <w:rPr>
          <w:rFonts w:hint="eastAsia"/>
          <w:color w:val="000000" w:themeColor="text1"/>
          <w14:textFill>
            <w14:solidFill>
              <w14:schemeClr w14:val="tx1"/>
            </w14:solidFill>
          </w14:textFill>
        </w:rPr>
        <w:t>三、中标与合同</w:t>
      </w:r>
      <w:bookmarkEnd w:id="58"/>
      <w:bookmarkEnd w:id="59"/>
      <w:bookmarkEnd w:id="60"/>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1、中标结果在本项目公告媒体上发布，</w:t>
      </w:r>
      <w:r>
        <w:rPr>
          <w:rFonts w:hint="eastAsia"/>
          <w:color w:val="000000" w:themeColor="text1"/>
          <w:highlight w:val="yellow"/>
          <w14:textFill>
            <w14:solidFill>
              <w14:schemeClr w14:val="tx1"/>
            </w14:solidFill>
          </w14:textFill>
        </w:rPr>
        <w:t>公示期为3个工作日。</w:t>
      </w:r>
    </w:p>
    <w:p>
      <w:pPr>
        <w:pStyle w:val="45"/>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、采购人与中标人应当在规定时间内，按照本招标文件和中标人投标文件签订合同。</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3、中标人应按中标通知书规定的时间、地点与采购人签订合同，否则按开标后撤回投标处理。</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4、招标文件、投标文件及评标过程中有关澄清文件均为签订合同的依据。</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5、中标通知书是合同的一个组成部分。</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6、采购人与中标人应当根据合同的约定依法履行合同义务。采购合同的履行、违约责任和解决争议的方法等适用《中华人民共和国民法典》。</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7、采购人应当加强对中标人的履约管理，并按照采购合同约定，及时向中标人支付采购资金。对于中标人违反采购合同约定的行为，采购人应当及时处理，依法追究其违约责任。</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8、合同履行中，采购人需追加与合同标的相同的服务的，在不改变合同其他条款的前提下，可以与中标人协商签订补充合同，但所有补充合同的采购金额不得超过原合同采购金额的百分之十。</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中标人拒绝与采购人签订合同的，采购人可以按照评审报告推荐的中标候选人名单排序，确定下一候选人为中标人，也可以重新开展采购活动。拒绝签订采购合同的中标人不得参加该项目重新开展的采购活动并列入不良记录。</w:t>
      </w:r>
    </w:p>
    <w:p>
      <w:pPr>
        <w:pStyle w:val="51"/>
        <w:rPr>
          <w:color w:val="000000" w:themeColor="text1"/>
          <w14:textFill>
            <w14:solidFill>
              <w14:schemeClr w14:val="tx1"/>
            </w14:solidFill>
          </w14:textFill>
        </w:rPr>
      </w:pPr>
      <w:bookmarkStart w:id="61" w:name="_Toc530660156"/>
      <w:bookmarkStart w:id="62" w:name="_Toc4263590"/>
      <w:bookmarkStart w:id="63" w:name="_Toc42160946"/>
      <w:r>
        <w:rPr>
          <w:rFonts w:hint="eastAsia"/>
          <w:color w:val="000000" w:themeColor="text1"/>
          <w14:textFill>
            <w14:solidFill>
              <w14:schemeClr w14:val="tx1"/>
            </w14:solidFill>
          </w14:textFill>
        </w:rPr>
        <w:t>四、其他事项</w:t>
      </w:r>
      <w:bookmarkEnd w:id="61"/>
      <w:bookmarkEnd w:id="62"/>
      <w:bookmarkEnd w:id="63"/>
    </w:p>
    <w:p>
      <w:pPr>
        <w:pStyle w:val="45"/>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、因本招标文件中可能存有的某些内容所引起的理解歧义可能导致的申请人所作出的不准确判断所带来的一切结果，采购人不承诺承担任何责任。</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2、采购人不承担核查资料真实性的义务。由于申请人提供虚假的材料，导致招标项目无法顺利进行或者失败，由此造成的后果及经济损失，由申请人承担全部责任。</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3、采购人无义务向未中选申请人退还申请文件。</w:t>
      </w:r>
    </w:p>
    <w:p>
      <w:pPr>
        <w:pStyle w:val="45"/>
        <w:ind w:firstLine="199" w:firstLineChars="83"/>
        <w:rPr>
          <w:color w:val="000000" w:themeColor="text1"/>
          <w14:textFill>
            <w14:solidFill>
              <w14:schemeClr w14:val="tx1"/>
            </w14:solidFill>
          </w14:textFill>
        </w:rPr>
        <w:sectPr>
          <w:pgSz w:w="11907" w:h="16840"/>
          <w:pgMar w:top="1418" w:right="1418" w:bottom="1418" w:left="1814" w:header="1134" w:footer="851" w:gutter="0"/>
          <w:pgNumType w:fmt="numberInDash"/>
          <w:cols w:space="425" w:num="1"/>
          <w:titlePg/>
          <w:docGrid w:type="linesAndChars" w:linePitch="312" w:charSpace="0"/>
        </w:sectPr>
      </w:pPr>
    </w:p>
    <w:p>
      <w:pPr>
        <w:pStyle w:val="53"/>
        <w:spacing w:before="0"/>
        <w:rPr>
          <w:color w:val="000000" w:themeColor="text1"/>
          <w14:textFill>
            <w14:solidFill>
              <w14:schemeClr w14:val="tx1"/>
            </w14:solidFill>
          </w14:textFill>
        </w:rPr>
      </w:pPr>
      <w:bookmarkStart w:id="64" w:name="_Toc42160947"/>
      <w:bookmarkStart w:id="65" w:name="_Toc4263591"/>
      <w:r>
        <w:rPr>
          <w:rFonts w:hint="eastAsia"/>
          <w:color w:val="000000" w:themeColor="text1"/>
          <w14:textFill>
            <w14:solidFill>
              <w14:schemeClr w14:val="tx1"/>
            </w14:solidFill>
          </w14:textFill>
        </w:rPr>
        <w:t>第三章 投标文件格式</w:t>
      </w:r>
      <w:bookmarkEnd w:id="64"/>
      <w:bookmarkEnd w:id="65"/>
    </w:p>
    <w:p>
      <w:pPr>
        <w:spacing w:line="380" w:lineRule="exact"/>
        <w:ind w:firstLine="562"/>
        <w:jc w:val="center"/>
        <w:rPr>
          <w:rFonts w:ascii="宋体" w:hAnsi="宋体"/>
          <w:b/>
          <w:color w:val="000000" w:themeColor="text1"/>
          <w:szCs w:val="28"/>
          <w14:textFill>
            <w14:solidFill>
              <w14:schemeClr w14:val="tx1"/>
            </w14:solidFill>
          </w14:textFill>
        </w:rPr>
      </w:pPr>
    </w:p>
    <w:p>
      <w:pPr>
        <w:pStyle w:val="45"/>
        <w:ind w:firstLine="0" w:firstLineChars="0"/>
        <w:rPr>
          <w:rFonts w:ascii="宋体" w:hAnsi="宋体"/>
          <w:b/>
          <w:color w:val="000000" w:themeColor="text1"/>
          <w:szCs w:val="28"/>
          <w14:textFill>
            <w14:solidFill>
              <w14:schemeClr w14:val="tx1"/>
            </w14:solidFill>
          </w14:textFill>
        </w:rPr>
      </w:pPr>
    </w:p>
    <w:p>
      <w:pPr>
        <w:pStyle w:val="45"/>
        <w:ind w:firstLine="0" w:firstLineChars="0"/>
        <w:jc w:val="center"/>
        <w:rPr>
          <w:b/>
          <w:color w:val="000000" w:themeColor="text1"/>
          <w:sz w:val="56"/>
          <w14:textFill>
            <w14:solidFill>
              <w14:schemeClr w14:val="tx1"/>
            </w14:solidFill>
          </w14:textFill>
        </w:rPr>
      </w:pPr>
      <w:r>
        <w:rPr>
          <w:rFonts w:hint="eastAsia"/>
          <w:b/>
          <w:color w:val="000000" w:themeColor="text1"/>
          <w:sz w:val="56"/>
          <w14:textFill>
            <w14:solidFill>
              <w14:schemeClr w14:val="tx1"/>
            </w14:solidFill>
          </w14:textFill>
        </w:rPr>
        <w:t>投 标 文 件</w:t>
      </w:r>
    </w:p>
    <w:p>
      <w:pPr>
        <w:pStyle w:val="45"/>
        <w:ind w:firstLine="0" w:firstLineChars="0"/>
        <w:rPr>
          <w:rFonts w:cs="宋体"/>
          <w:bCs/>
          <w:color w:val="000000" w:themeColor="text1"/>
          <w:sz w:val="32"/>
          <w:szCs w:val="32"/>
          <w14:textFill>
            <w14:solidFill>
              <w14:schemeClr w14:val="tx1"/>
            </w14:solidFill>
          </w14:textFill>
        </w:rPr>
      </w:pPr>
    </w:p>
    <w:p>
      <w:pPr>
        <w:pStyle w:val="45"/>
        <w:ind w:firstLine="0" w:firstLineChars="0"/>
        <w:rPr>
          <w:rFonts w:cs="宋体"/>
          <w:bCs/>
          <w:color w:val="000000" w:themeColor="text1"/>
          <w:sz w:val="32"/>
          <w:szCs w:val="32"/>
          <w14:textFill>
            <w14:solidFill>
              <w14:schemeClr w14:val="tx1"/>
            </w14:solidFill>
          </w14:textFill>
        </w:rPr>
      </w:pPr>
    </w:p>
    <w:p>
      <w:pPr>
        <w:pStyle w:val="45"/>
        <w:ind w:left="720" w:leftChars="300" w:firstLine="0" w:firstLineChars="0"/>
        <w:rPr>
          <w:rFonts w:cs="宋体"/>
          <w:bCs/>
          <w:color w:val="000000" w:themeColor="text1"/>
          <w:sz w:val="32"/>
          <w:szCs w:val="32"/>
          <w:u w:val="single"/>
          <w14:textFill>
            <w14:solidFill>
              <w14:schemeClr w14:val="tx1"/>
            </w14:solidFill>
          </w14:textFill>
        </w:rPr>
      </w:pPr>
      <w:r>
        <w:rPr>
          <w:rFonts w:hint="eastAsia" w:cs="宋体"/>
          <w:bCs/>
          <w:color w:val="000000" w:themeColor="text1"/>
          <w:sz w:val="32"/>
          <w:szCs w:val="32"/>
          <w14:textFill>
            <w14:solidFill>
              <w14:schemeClr w14:val="tx1"/>
            </w14:solidFill>
          </w14:textFill>
        </w:rPr>
        <w:t>项目名称</w:t>
      </w:r>
      <w:r>
        <w:rPr>
          <w:rFonts w:cs="宋体"/>
          <w:bCs/>
          <w:color w:val="000000" w:themeColor="text1"/>
          <w:sz w:val="32"/>
          <w:szCs w:val="32"/>
          <w14:textFill>
            <w14:solidFill>
              <w14:schemeClr w14:val="tx1"/>
            </w14:solidFill>
          </w14:textFill>
        </w:rPr>
        <w:t>：</w:t>
      </w:r>
      <w:r>
        <w:rPr>
          <w:rFonts w:cs="宋体"/>
          <w:bCs/>
          <w:color w:val="000000" w:themeColor="text1"/>
          <w:sz w:val="32"/>
          <w:szCs w:val="32"/>
          <w:u w:val="single"/>
          <w14:textFill>
            <w14:solidFill>
              <w14:schemeClr w14:val="tx1"/>
            </w14:solidFill>
          </w14:textFill>
        </w:rPr>
        <w:t xml:space="preserve">                           </w:t>
      </w:r>
    </w:p>
    <w:p>
      <w:pPr>
        <w:pStyle w:val="45"/>
        <w:ind w:left="720" w:leftChars="300" w:firstLine="0" w:firstLineChars="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申请单位（加盖公章）：</w:t>
      </w:r>
      <w:r>
        <w:rPr>
          <w:rFonts w:hint="eastAsia"/>
          <w:color w:val="000000" w:themeColor="text1"/>
          <w:sz w:val="32"/>
          <w:szCs w:val="32"/>
          <w:u w:val="single"/>
          <w14:textFill>
            <w14:solidFill>
              <w14:schemeClr w14:val="tx1"/>
            </w14:solidFill>
          </w14:textFill>
        </w:rPr>
        <w:t xml:space="preserve">                 　　</w:t>
      </w:r>
    </w:p>
    <w:p>
      <w:pPr>
        <w:pStyle w:val="45"/>
        <w:ind w:left="720" w:leftChars="300" w:firstLine="0" w:firstLineChars="0"/>
        <w:rPr>
          <w:color w:val="000000" w:themeColor="text1"/>
          <w:sz w:val="32"/>
          <w:szCs w:val="32"/>
          <w:u w:val="single"/>
          <w14:textFill>
            <w14:solidFill>
              <w14:schemeClr w14:val="tx1"/>
            </w14:solidFill>
          </w14:textFill>
        </w:rPr>
      </w:pPr>
      <w:r>
        <w:rPr>
          <w:rFonts w:hint="eastAsia"/>
          <w:color w:val="000000" w:themeColor="text1"/>
          <w:spacing w:val="20"/>
          <w:sz w:val="32"/>
          <w:szCs w:val="32"/>
          <w14:textFill>
            <w14:solidFill>
              <w14:schemeClr w14:val="tx1"/>
            </w14:solidFill>
          </w14:textFill>
        </w:rPr>
        <w:t>法定代表人（签字）</w:t>
      </w:r>
      <w:r>
        <w:rPr>
          <w:rFonts w:hint="eastAsia"/>
          <w:color w:val="000000" w:themeColor="text1"/>
          <w:sz w:val="32"/>
          <w:szCs w:val="32"/>
          <w14:textFill>
            <w14:solidFill>
              <w14:schemeClr w14:val="tx1"/>
            </w14:solidFill>
          </w14:textFill>
        </w:rPr>
        <w:t>：</w:t>
      </w:r>
      <w:r>
        <w:rPr>
          <w:rFonts w:hint="eastAsia"/>
          <w:color w:val="000000" w:themeColor="text1"/>
          <w:sz w:val="32"/>
          <w:szCs w:val="32"/>
          <w:u w:val="single"/>
          <w14:textFill>
            <w14:solidFill>
              <w14:schemeClr w14:val="tx1"/>
            </w14:solidFill>
          </w14:textFill>
        </w:rPr>
        <w:t xml:space="preserve">                   　　</w:t>
      </w:r>
    </w:p>
    <w:p>
      <w:pPr>
        <w:pStyle w:val="45"/>
        <w:ind w:left="720" w:leftChars="300" w:firstLine="0" w:firstLineChars="0"/>
        <w:rPr>
          <w:color w:val="000000" w:themeColor="text1"/>
          <w:sz w:val="32"/>
          <w:szCs w:val="32"/>
          <w:u w:val="single"/>
          <w14:textFill>
            <w14:solidFill>
              <w14:schemeClr w14:val="tx1"/>
            </w14:solidFill>
          </w14:textFill>
        </w:rPr>
      </w:pPr>
      <w:r>
        <w:rPr>
          <w:rFonts w:hint="eastAsia"/>
          <w:color w:val="000000" w:themeColor="text1"/>
          <w:spacing w:val="20"/>
          <w:sz w:val="32"/>
          <w:szCs w:val="32"/>
          <w14:textFill>
            <w14:solidFill>
              <w14:schemeClr w14:val="tx1"/>
            </w14:solidFill>
          </w14:textFill>
        </w:rPr>
        <w:t>委托代理人</w:t>
      </w:r>
      <w:r>
        <w:rPr>
          <w:rFonts w:hint="eastAsia"/>
          <w:color w:val="000000" w:themeColor="text1"/>
          <w:sz w:val="32"/>
          <w:szCs w:val="32"/>
          <w14:textFill>
            <w14:solidFill>
              <w14:schemeClr w14:val="tx1"/>
            </w14:solidFill>
          </w14:textFill>
        </w:rPr>
        <w:t>：</w:t>
      </w:r>
      <w:r>
        <w:rPr>
          <w:rFonts w:hint="eastAsia"/>
          <w:color w:val="000000" w:themeColor="text1"/>
          <w:sz w:val="32"/>
          <w:szCs w:val="32"/>
          <w:u w:val="single"/>
          <w14:textFill>
            <w14:solidFill>
              <w14:schemeClr w14:val="tx1"/>
            </w14:solidFill>
          </w14:textFill>
        </w:rPr>
        <w:t xml:space="preserve">                               </w:t>
      </w:r>
    </w:p>
    <w:p>
      <w:pPr>
        <w:pStyle w:val="45"/>
        <w:ind w:left="720" w:leftChars="300" w:firstLine="0" w:firstLineChars="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联系电话：</w:t>
      </w:r>
      <w:r>
        <w:rPr>
          <w:rFonts w:hint="eastAsia"/>
          <w:color w:val="000000" w:themeColor="text1"/>
          <w:sz w:val="32"/>
          <w:szCs w:val="32"/>
          <w:u w:val="single"/>
          <w14:textFill>
            <w14:solidFill>
              <w14:schemeClr w14:val="tx1"/>
            </w14:solidFill>
          </w14:textFill>
        </w:rPr>
        <w:t xml:space="preserve">    　                            </w:t>
      </w:r>
    </w:p>
    <w:p>
      <w:pPr>
        <w:pStyle w:val="45"/>
        <w:ind w:left="720" w:leftChars="300" w:firstLine="0" w:firstLineChars="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投递日期：</w:t>
      </w:r>
      <w:r>
        <w:rPr>
          <w:rFonts w:hint="eastAsia"/>
          <w:color w:val="000000" w:themeColor="text1"/>
          <w:sz w:val="32"/>
          <w:szCs w:val="32"/>
          <w:u w:val="single"/>
          <w14:textFill>
            <w14:solidFill>
              <w14:schemeClr w14:val="tx1"/>
            </w14:solidFill>
          </w14:textFill>
        </w:rPr>
        <w:t xml:space="preserve">                                  </w:t>
      </w:r>
    </w:p>
    <w:p>
      <w:pPr>
        <w:pStyle w:val="45"/>
        <w:ind w:firstLine="480"/>
        <w:rPr>
          <w:rFonts w:ascii="仿宋" w:hAnsi="仿宋" w:eastAsia="仿宋"/>
          <w:color w:val="000000" w:themeColor="text1"/>
          <w14:textFill>
            <w14:solidFill>
              <w14:schemeClr w14:val="tx1"/>
            </w14:solidFill>
          </w14:textFill>
        </w:rPr>
      </w:pPr>
    </w:p>
    <w:p>
      <w:pPr>
        <w:pStyle w:val="45"/>
        <w:ind w:firstLine="480"/>
        <w:rPr>
          <w:rFonts w:ascii="仿宋" w:hAnsi="仿宋" w:eastAsia="仿宋"/>
          <w:color w:val="000000" w:themeColor="text1"/>
          <w14:textFill>
            <w14:solidFill>
              <w14:schemeClr w14:val="tx1"/>
            </w14:solidFill>
          </w14:textFill>
        </w:rPr>
      </w:pPr>
    </w:p>
    <w:p>
      <w:pPr>
        <w:pStyle w:val="45"/>
        <w:ind w:firstLine="480"/>
        <w:rPr>
          <w:color w:val="000000" w:themeColor="text1"/>
          <w:szCs w:val="24"/>
          <w14:textFill>
            <w14:solidFill>
              <w14:schemeClr w14:val="tx1"/>
            </w14:solidFill>
          </w14:textFill>
        </w:rPr>
      </w:pPr>
    </w:p>
    <w:p>
      <w:pPr>
        <w:pStyle w:val="45"/>
        <w:ind w:firstLine="480"/>
        <w:rPr>
          <w:color w:val="000000" w:themeColor="text1"/>
          <w:szCs w:val="24"/>
          <w14:textFill>
            <w14:solidFill>
              <w14:schemeClr w14:val="tx1"/>
            </w14:solidFill>
          </w14:textFill>
        </w:rPr>
      </w:pPr>
    </w:p>
    <w:p>
      <w:pPr>
        <w:pStyle w:val="45"/>
        <w:ind w:firstLine="480"/>
        <w:rPr>
          <w:color w:val="000000" w:themeColor="text1"/>
          <w:szCs w:val="24"/>
          <w14:textFill>
            <w14:solidFill>
              <w14:schemeClr w14:val="tx1"/>
            </w14:solidFill>
          </w14:textFill>
        </w:rPr>
      </w:pPr>
    </w:p>
    <w:p>
      <w:pPr>
        <w:pStyle w:val="45"/>
        <w:ind w:firstLine="480"/>
        <w:rPr>
          <w:color w:val="000000" w:themeColor="text1"/>
          <w:szCs w:val="24"/>
          <w14:textFill>
            <w14:solidFill>
              <w14:schemeClr w14:val="tx1"/>
            </w14:solidFill>
          </w14:textFill>
        </w:rPr>
      </w:pPr>
    </w:p>
    <w:p>
      <w:pPr>
        <w:pStyle w:val="45"/>
        <w:ind w:firstLine="480"/>
        <w:rPr>
          <w:color w:val="000000" w:themeColor="text1"/>
          <w:szCs w:val="24"/>
          <w14:textFill>
            <w14:solidFill>
              <w14:schemeClr w14:val="tx1"/>
            </w14:solidFill>
          </w14:textFill>
        </w:rPr>
      </w:pPr>
    </w:p>
    <w:p>
      <w:pPr>
        <w:pStyle w:val="45"/>
        <w:ind w:firstLine="480"/>
        <w:rPr>
          <w:color w:val="000000" w:themeColor="text1"/>
          <w:szCs w:val="24"/>
          <w14:textFill>
            <w14:solidFill>
              <w14:schemeClr w14:val="tx1"/>
            </w14:solidFill>
          </w14:textFill>
        </w:rPr>
      </w:pPr>
    </w:p>
    <w:p>
      <w:pPr>
        <w:pStyle w:val="45"/>
        <w:ind w:firstLine="480"/>
        <w:rPr>
          <w:color w:val="000000" w:themeColor="text1"/>
          <w:szCs w:val="24"/>
          <w14:textFill>
            <w14:solidFill>
              <w14:schemeClr w14:val="tx1"/>
            </w14:solidFill>
          </w14:textFill>
        </w:rPr>
      </w:pPr>
    </w:p>
    <w:p>
      <w:pPr>
        <w:pStyle w:val="45"/>
        <w:ind w:firstLine="480"/>
        <w:rPr>
          <w:color w:val="000000" w:themeColor="text1"/>
          <w:szCs w:val="24"/>
          <w14:textFill>
            <w14:solidFill>
              <w14:schemeClr w14:val="tx1"/>
            </w14:solidFill>
          </w14:textFill>
        </w:rPr>
      </w:pPr>
    </w:p>
    <w:p>
      <w:pPr>
        <w:pStyle w:val="45"/>
        <w:ind w:firstLine="480"/>
        <w:rPr>
          <w:color w:val="000000" w:themeColor="text1"/>
          <w:szCs w:val="24"/>
          <w14:textFill>
            <w14:solidFill>
              <w14:schemeClr w14:val="tx1"/>
            </w14:solidFill>
          </w14:textFill>
        </w:rPr>
      </w:pPr>
    </w:p>
    <w:p>
      <w:pPr>
        <w:pStyle w:val="45"/>
        <w:ind w:firstLine="480"/>
        <w:rPr>
          <w:color w:val="000000" w:themeColor="text1"/>
          <w:szCs w:val="24"/>
          <w14:textFill>
            <w14:solidFill>
              <w14:schemeClr w14:val="tx1"/>
            </w14:solidFill>
          </w14:textFill>
        </w:rPr>
      </w:pPr>
    </w:p>
    <w:p>
      <w:pPr>
        <w:pStyle w:val="45"/>
        <w:ind w:firstLine="480"/>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年 </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 xml:space="preserve"> 月 </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日</w:t>
      </w:r>
    </w:p>
    <w:p>
      <w:pPr>
        <w:pStyle w:val="45"/>
        <w:ind w:firstLine="643"/>
        <w:jc w:val="center"/>
        <w:rPr>
          <w:b/>
          <w:color w:val="000000" w:themeColor="text1"/>
          <w:sz w:val="32"/>
          <w:szCs w:val="24"/>
          <w14:textFill>
            <w14:solidFill>
              <w14:schemeClr w14:val="tx1"/>
            </w14:solidFill>
          </w14:textFill>
        </w:rPr>
      </w:pPr>
      <w:r>
        <w:rPr>
          <w:rFonts w:hint="eastAsia"/>
          <w:b/>
          <w:color w:val="000000" w:themeColor="text1"/>
          <w:sz w:val="32"/>
          <w:szCs w:val="24"/>
          <w14:textFill>
            <w14:solidFill>
              <w14:schemeClr w14:val="tx1"/>
            </w14:solidFill>
          </w14:textFill>
        </w:rPr>
        <w:t>编制说明</w:t>
      </w:r>
    </w:p>
    <w:p>
      <w:pPr>
        <w:pStyle w:val="45"/>
        <w:ind w:firstLine="480"/>
        <w:rPr>
          <w:color w:val="000000" w:themeColor="text1"/>
          <w:szCs w:val="24"/>
          <w14:textFill>
            <w14:solidFill>
              <w14:schemeClr w14:val="tx1"/>
            </w14:solidFill>
          </w14:textFill>
        </w:rPr>
      </w:pPr>
    </w:p>
    <w:p>
      <w:pPr>
        <w:pStyle w:val="45"/>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一、申请人在填写本申请书时必须认真、详细、准确，申请书中所承诺的内容均为中选后双方签订合同的依据。</w:t>
      </w:r>
    </w:p>
    <w:p>
      <w:pPr>
        <w:pStyle w:val="45"/>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二、请严格按本格式编制申请书，并将申请书与有关资料装订成册，</w:t>
      </w:r>
      <w:r>
        <w:rPr>
          <w:rFonts w:hint="eastAsia" w:cs="宋体"/>
          <w:color w:val="000000" w:themeColor="text1"/>
          <w14:textFill>
            <w14:solidFill>
              <w14:schemeClr w14:val="tx1"/>
            </w14:solidFill>
          </w14:textFill>
        </w:rPr>
        <w:t>由于装订原因造成材料的散落、丢失等，责任由申请人承担。</w:t>
      </w:r>
    </w:p>
    <w:p>
      <w:pPr>
        <w:pStyle w:val="45"/>
        <w:ind w:firstLine="480"/>
        <w:rPr>
          <w:color w:val="000000" w:themeColor="text1"/>
          <w14:textFill>
            <w14:solidFill>
              <w14:schemeClr w14:val="tx1"/>
            </w14:solidFill>
          </w14:textFill>
        </w:rPr>
      </w:pPr>
    </w:p>
    <w:p>
      <w:pPr>
        <w:pStyle w:val="45"/>
        <w:ind w:firstLine="643"/>
        <w:jc w:val="center"/>
        <w:rPr>
          <w:b/>
          <w:color w:val="000000" w:themeColor="text1"/>
          <w:sz w:val="32"/>
          <w:szCs w:val="24"/>
          <w14:textFill>
            <w14:solidFill>
              <w14:schemeClr w14:val="tx1"/>
            </w14:solidFill>
          </w14:textFill>
        </w:rPr>
      </w:pPr>
      <w:r>
        <w:rPr>
          <w:rFonts w:hint="eastAsia"/>
          <w:b/>
          <w:color w:val="000000" w:themeColor="text1"/>
          <w:sz w:val="32"/>
          <w:szCs w:val="24"/>
          <w14:textFill>
            <w14:solidFill>
              <w14:schemeClr w14:val="tx1"/>
            </w14:solidFill>
          </w14:textFill>
        </w:rPr>
        <w:t>目录（自拟）</w:t>
      </w:r>
    </w:p>
    <w:p>
      <w:pPr>
        <w:pStyle w:val="45"/>
        <w:ind w:firstLine="0" w:firstLineChars="0"/>
        <w:rPr>
          <w:b/>
          <w:color w:val="000000" w:themeColor="text1"/>
          <w:szCs w:val="24"/>
          <w14:textFill>
            <w14:solidFill>
              <w14:schemeClr w14:val="tx1"/>
            </w14:solidFill>
          </w14:textFill>
        </w:rPr>
      </w:pPr>
    </w:p>
    <w:p>
      <w:pPr>
        <w:pStyle w:val="45"/>
        <w:ind w:firstLine="0" w:firstLineChars="0"/>
        <w:rPr>
          <w:b/>
          <w:color w:val="000000" w:themeColor="text1"/>
          <w:szCs w:val="24"/>
          <w14:textFill>
            <w14:solidFill>
              <w14:schemeClr w14:val="tx1"/>
            </w14:solidFill>
          </w14:textFill>
        </w:rPr>
      </w:pPr>
    </w:p>
    <w:p>
      <w:pPr>
        <w:pStyle w:val="45"/>
        <w:numPr>
          <w:ilvl w:val="0"/>
          <w:numId w:val="1"/>
        </w:numPr>
        <w:ind w:firstLineChars="0"/>
        <w:rPr>
          <w:b/>
          <w:color w:val="000000" w:themeColor="text1"/>
          <w:szCs w:val="24"/>
          <w14:textFill>
            <w14:solidFill>
              <w14:schemeClr w14:val="tx1"/>
            </w14:solidFill>
          </w14:textFill>
        </w:rPr>
      </w:pPr>
      <w:r>
        <w:rPr>
          <w:b/>
          <w:color w:val="000000" w:themeColor="text1"/>
          <w:szCs w:val="24"/>
          <w14:textFill>
            <w14:solidFill>
              <w14:schemeClr w14:val="tx1"/>
            </w14:solidFill>
          </w14:textFill>
        </w:rPr>
        <w:t>法定代表人身份证明书</w:t>
      </w:r>
    </w:p>
    <w:p>
      <w:pPr>
        <w:pStyle w:val="45"/>
        <w:ind w:firstLine="0" w:firstLineChars="0"/>
        <w:rPr>
          <w:b/>
          <w:color w:val="000000" w:themeColor="text1"/>
          <w:szCs w:val="24"/>
          <w14:textFill>
            <w14:solidFill>
              <w14:schemeClr w14:val="tx1"/>
            </w14:solidFill>
          </w14:textFill>
        </w:rPr>
      </w:pPr>
      <w:r>
        <w:rPr>
          <w:rFonts w:hint="eastAsia"/>
          <w:color w:val="000000" w:themeColor="text1"/>
          <w:szCs w:val="24"/>
          <w:lang w:eastAsia="zh-CN"/>
          <w14:textFill>
            <w14:solidFill>
              <w14:schemeClr w14:val="tx1"/>
            </w14:solidFill>
          </w14:textFill>
        </w:rPr>
        <w:t>赣江新区人民医院</w:t>
      </w:r>
      <w:r>
        <w:rPr>
          <w:rFonts w:hint="eastAsia"/>
          <w:color w:val="000000" w:themeColor="text1"/>
          <w:szCs w:val="24"/>
          <w14:textFill>
            <w14:solidFill>
              <w14:schemeClr w14:val="tx1"/>
            </w14:solidFill>
          </w14:textFill>
        </w:rPr>
        <w:t>：</w:t>
      </w:r>
    </w:p>
    <w:p>
      <w:pPr>
        <w:pStyle w:val="45"/>
        <w:ind w:firstLine="480"/>
        <w:rPr>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申请人名称：</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 xml:space="preserve">单位性质：  </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 xml:space="preserve">                             </w:t>
      </w:r>
    </w:p>
    <w:p>
      <w:pPr>
        <w:pStyle w:val="45"/>
        <w:ind w:firstLine="0" w:firstLineChars="0"/>
        <w:rPr>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地址：</w:t>
      </w:r>
      <w:r>
        <w:rPr>
          <w:rFonts w:hint="eastAsia"/>
          <w:color w:val="000000" w:themeColor="text1"/>
          <w:szCs w:val="24"/>
          <w:u w:val="single"/>
          <w14:textFill>
            <w14:solidFill>
              <w14:schemeClr w14:val="tx1"/>
            </w14:solidFill>
          </w14:textFill>
        </w:rPr>
        <w:t xml:space="preserve">                              </w:t>
      </w:r>
      <w:r>
        <w:rPr>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成立时间：</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年</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月</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日</w:t>
      </w:r>
    </w:p>
    <w:p>
      <w:pPr>
        <w:pStyle w:val="45"/>
        <w:ind w:firstLine="0" w:firstLineChar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经营期限：</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姓名：</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性别：</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年龄：</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职务：</w:t>
      </w:r>
      <w:r>
        <w:rPr>
          <w:rFonts w:hint="eastAsia"/>
          <w:color w:val="000000" w:themeColor="text1"/>
          <w:szCs w:val="24"/>
          <w:u w:val="single"/>
          <w14:textFill>
            <w14:solidFill>
              <w14:schemeClr w14:val="tx1"/>
            </w14:solidFill>
          </w14:textFill>
        </w:rPr>
        <w:t xml:space="preserve">   </w:t>
      </w:r>
      <w:r>
        <w:rPr>
          <w:color w:val="000000" w:themeColor="text1"/>
          <w:szCs w:val="24"/>
          <w:u w:val="single"/>
          <w14:textFill>
            <w14:solidFill>
              <w14:schemeClr w14:val="tx1"/>
            </w14:solidFill>
          </w14:textFill>
        </w:rPr>
        <w:t xml:space="preserve"> </w:t>
      </w:r>
      <w:r>
        <w:rPr>
          <w:rFonts w:hint="eastAsia"/>
          <w:color w:val="000000" w:themeColor="text1"/>
          <w:szCs w:val="24"/>
          <w:u w:val="single"/>
          <w14:textFill>
            <w14:solidFill>
              <w14:schemeClr w14:val="tx1"/>
            </w14:solidFill>
          </w14:textFill>
        </w:rPr>
        <w:t>　</w:t>
      </w:r>
      <w:r>
        <w:rPr>
          <w:rFonts w:hint="eastAsia"/>
          <w:color w:val="000000" w:themeColor="text1"/>
          <w:szCs w:val="24"/>
          <w14:textFill>
            <w14:solidFill>
              <w14:schemeClr w14:val="tx1"/>
            </w14:solidFill>
          </w14:textFill>
        </w:rPr>
        <w:t>系</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我公司的法定代表人，负责签署上述招标活动的一切文件，进行合同谈判，签署合同并处理与之有关的一切事务。</w:t>
      </w:r>
    </w:p>
    <w:p>
      <w:pPr>
        <w:pStyle w:val="45"/>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特此证明。</w:t>
      </w:r>
    </w:p>
    <w:p>
      <w:pPr>
        <w:pStyle w:val="45"/>
        <w:ind w:right="480" w:firstLine="3960" w:firstLineChars="1650"/>
        <w:rPr>
          <w:color w:val="000000" w:themeColor="text1"/>
          <w:szCs w:val="24"/>
          <w14:textFill>
            <w14:solidFill>
              <w14:schemeClr w14:val="tx1"/>
            </w14:solidFill>
          </w14:textFill>
        </w:rPr>
      </w:pPr>
    </w:p>
    <w:p>
      <w:pPr>
        <w:pStyle w:val="45"/>
        <w:ind w:right="480" w:firstLine="3960" w:firstLineChars="1650"/>
        <w:rPr>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申请人名称：（盖单位章）</w:t>
      </w:r>
      <w:r>
        <w:rPr>
          <w:rFonts w:hint="eastAsia"/>
          <w:color w:val="000000" w:themeColor="text1"/>
          <w:szCs w:val="24"/>
          <w:u w:val="single"/>
          <w14:textFill>
            <w14:solidFill>
              <w14:schemeClr w14:val="tx1"/>
            </w14:solidFill>
          </w14:textFill>
        </w:rPr>
        <w:t>　　　　　　　　</w:t>
      </w:r>
    </w:p>
    <w:p>
      <w:pPr>
        <w:pStyle w:val="45"/>
        <w:ind w:right="480" w:firstLine="4800" w:firstLineChars="2000"/>
        <w:rPr>
          <w:color w:val="000000" w:themeColor="text1"/>
          <w:szCs w:val="24"/>
          <w14:textFill>
            <w14:solidFill>
              <w14:schemeClr w14:val="tx1"/>
            </w14:solidFill>
          </w14:textFill>
        </w:rPr>
      </w:pP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年</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月</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日</w:t>
      </w:r>
    </w:p>
    <w:p>
      <w:pPr>
        <w:pStyle w:val="45"/>
        <w:ind w:firstLine="0" w:firstLineChars="0"/>
        <w:jc w:val="left"/>
        <w:rPr>
          <w:b/>
          <w:color w:val="000000" w:themeColor="text1"/>
          <w:szCs w:val="24"/>
          <w14:textFill>
            <w14:solidFill>
              <w14:schemeClr w14:val="tx1"/>
            </w14:solidFill>
          </w14:textFill>
        </w:rPr>
      </w:pPr>
    </w:p>
    <w:p>
      <w:pPr>
        <w:pStyle w:val="45"/>
        <w:ind w:firstLine="0" w:firstLineChars="0"/>
        <w:jc w:val="left"/>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二、法定代表人授权书</w:t>
      </w:r>
    </w:p>
    <w:p>
      <w:pPr>
        <w:pStyle w:val="45"/>
        <w:ind w:firstLine="0" w:firstLineChars="0"/>
        <w:rPr>
          <w:color w:val="000000" w:themeColor="text1"/>
          <w:szCs w:val="24"/>
          <w14:textFill>
            <w14:solidFill>
              <w14:schemeClr w14:val="tx1"/>
            </w14:solidFill>
          </w14:textFill>
        </w:rPr>
      </w:pPr>
      <w:r>
        <w:rPr>
          <w:rFonts w:hint="eastAsia"/>
          <w:color w:val="000000" w:themeColor="text1"/>
          <w:szCs w:val="24"/>
          <w:lang w:eastAsia="zh-CN"/>
          <w14:textFill>
            <w14:solidFill>
              <w14:schemeClr w14:val="tx1"/>
            </w14:solidFill>
          </w14:textFill>
        </w:rPr>
        <w:t>赣江新区人民医院</w:t>
      </w:r>
      <w:r>
        <w:rPr>
          <w:rFonts w:hint="eastAsia"/>
          <w:color w:val="000000" w:themeColor="text1"/>
          <w:szCs w:val="24"/>
          <w14:textFill>
            <w14:solidFill>
              <w14:schemeClr w14:val="tx1"/>
            </w14:solidFill>
          </w14:textFill>
        </w:rPr>
        <w:t>：</w:t>
      </w:r>
    </w:p>
    <w:p>
      <w:pPr>
        <w:pStyle w:val="45"/>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本授权声明：</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（申请人称）</w:t>
      </w:r>
      <w:r>
        <w:rPr>
          <w:rFonts w:hint="eastAsia"/>
          <w:color w:val="000000" w:themeColor="text1"/>
          <w:szCs w:val="24"/>
          <w:u w:val="single"/>
          <w14:textFill>
            <w14:solidFill>
              <w14:schemeClr w14:val="tx1"/>
            </w14:solidFill>
          </w14:textFill>
        </w:rPr>
        <w:t>　　　　 </w:t>
      </w:r>
      <w:r>
        <w:rPr>
          <w:rFonts w:hint="eastAsia"/>
          <w:color w:val="000000" w:themeColor="text1"/>
          <w:szCs w:val="24"/>
          <w14:textFill>
            <w14:solidFill>
              <w14:schemeClr w14:val="tx1"/>
            </w14:solidFill>
          </w14:textFill>
        </w:rPr>
        <w:t>（法定代表人姓名、职务）授权</w:t>
      </w:r>
      <w:r>
        <w:rPr>
          <w:rFonts w:hint="eastAsia"/>
          <w:color w:val="000000" w:themeColor="text1"/>
          <w:szCs w:val="24"/>
          <w:u w:val="single"/>
          <w14:textFill>
            <w14:solidFill>
              <w14:schemeClr w14:val="tx1"/>
            </w14:solidFill>
          </w14:textFill>
        </w:rPr>
        <w:t>　　　　　　　  　　　　</w:t>
      </w:r>
      <w:r>
        <w:rPr>
          <w:rFonts w:hint="eastAsia"/>
          <w:color w:val="000000" w:themeColor="text1"/>
          <w:szCs w:val="24"/>
          <w14:textFill>
            <w14:solidFill>
              <w14:schemeClr w14:val="tx1"/>
            </w14:solidFill>
          </w14:textFill>
        </w:rPr>
        <w:t>（被授权人姓名、职务）为我方参与</w:t>
      </w:r>
      <w:r>
        <w:rPr>
          <w:rFonts w:hint="eastAsia"/>
          <w:color w:val="000000" w:themeColor="text1"/>
          <w:szCs w:val="24"/>
          <w:lang w:eastAsia="zh-CN"/>
          <w14:textFill>
            <w14:solidFill>
              <w14:schemeClr w14:val="tx1"/>
            </w14:solidFill>
          </w14:textFill>
        </w:rPr>
        <w:t>赣江新区人民医院</w:t>
      </w:r>
      <w:r>
        <w:rPr>
          <w:rFonts w:hint="eastAsia"/>
          <w:color w:val="000000" w:themeColor="text1"/>
          <w:szCs w:val="24"/>
          <w:u w:val="single"/>
          <w14:textFill>
            <w14:solidFill>
              <w14:schemeClr w14:val="tx1"/>
            </w14:solidFill>
          </w14:textFill>
        </w:rPr>
        <w:t>　　　　　　　　　　</w:t>
      </w:r>
      <w:r>
        <w:rPr>
          <w:rFonts w:hint="eastAsia"/>
          <w:color w:val="000000" w:themeColor="text1"/>
          <w:szCs w:val="24"/>
          <w14:textFill>
            <w14:solidFill>
              <w14:schemeClr w14:val="tx1"/>
            </w14:solidFill>
          </w14:textFill>
        </w:rPr>
        <w:t>招标活动的合法代表，以我方名义全权处理该项目有关招标、签订合同以及执行合同等一切事宜。</w:t>
      </w:r>
    </w:p>
    <w:p>
      <w:pPr>
        <w:pStyle w:val="45"/>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特此声明。</w:t>
      </w:r>
    </w:p>
    <w:p>
      <w:pPr>
        <w:pStyle w:val="45"/>
        <w:ind w:left="3840" w:leftChars="1600" w:firstLine="480"/>
        <w:jc w:val="left"/>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申请人名称（盖章）：</w:t>
      </w:r>
      <w:r>
        <w:rPr>
          <w:rFonts w:hint="eastAsia"/>
          <w:color w:val="000000" w:themeColor="text1"/>
          <w:szCs w:val="24"/>
          <w:u w:val="single"/>
          <w14:textFill>
            <w14:solidFill>
              <w14:schemeClr w14:val="tx1"/>
            </w14:solidFill>
          </w14:textFill>
        </w:rPr>
        <w:t xml:space="preserve">　      　　　    </w:t>
      </w:r>
    </w:p>
    <w:p>
      <w:pPr>
        <w:pStyle w:val="45"/>
        <w:ind w:left="3840" w:leftChars="1600" w:firstLine="480"/>
        <w:jc w:val="left"/>
        <w:rPr>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法定代表人（签字）：</w:t>
      </w:r>
      <w:r>
        <w:rPr>
          <w:rFonts w:hint="eastAsia"/>
          <w:color w:val="000000" w:themeColor="text1"/>
          <w:szCs w:val="24"/>
          <w:u w:val="single"/>
          <w14:textFill>
            <w14:solidFill>
              <w14:schemeClr w14:val="tx1"/>
            </w14:solidFill>
          </w14:textFill>
        </w:rPr>
        <w:t xml:space="preserve">　　　　　　　　  </w:t>
      </w:r>
    </w:p>
    <w:p>
      <w:pPr>
        <w:pStyle w:val="45"/>
        <w:ind w:left="3840" w:leftChars="1600" w:firstLine="480"/>
        <w:jc w:val="left"/>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身份证号码：</w:t>
      </w:r>
      <w:r>
        <w:rPr>
          <w:rFonts w:hint="eastAsia"/>
          <w:color w:val="000000" w:themeColor="text1"/>
          <w:szCs w:val="24"/>
          <w:u w:val="single"/>
          <w14:textFill>
            <w14:solidFill>
              <w14:schemeClr w14:val="tx1"/>
            </w14:solidFill>
          </w14:textFill>
        </w:rPr>
        <w:t xml:space="preserve">                   　　  </w:t>
      </w:r>
    </w:p>
    <w:p>
      <w:pPr>
        <w:pStyle w:val="45"/>
        <w:ind w:left="3840" w:leftChars="1600" w:firstLine="480"/>
        <w:jc w:val="left"/>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委托代理人（签字）：</w:t>
      </w:r>
      <w:r>
        <w:rPr>
          <w:rFonts w:hint="eastAsia"/>
          <w:color w:val="000000" w:themeColor="text1"/>
          <w:szCs w:val="24"/>
          <w:u w:val="single"/>
          <w14:textFill>
            <w14:solidFill>
              <w14:schemeClr w14:val="tx1"/>
            </w14:solidFill>
          </w14:textFill>
        </w:rPr>
        <w:t xml:space="preserve">          </w:t>
      </w:r>
      <w:r>
        <w:rPr>
          <w:color w:val="000000" w:themeColor="text1"/>
          <w:szCs w:val="24"/>
          <w:u w:val="single"/>
          <w14:textFill>
            <w14:solidFill>
              <w14:schemeClr w14:val="tx1"/>
            </w14:solidFill>
          </w14:textFill>
        </w:rPr>
        <w:t xml:space="preserve">        </w:t>
      </w:r>
    </w:p>
    <w:p>
      <w:pPr>
        <w:pStyle w:val="45"/>
        <w:ind w:left="3840" w:leftChars="1600" w:firstLine="480"/>
        <w:jc w:val="left"/>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身份证号码：</w:t>
      </w:r>
      <w:r>
        <w:rPr>
          <w:rFonts w:hint="eastAsia"/>
          <w:color w:val="000000" w:themeColor="text1"/>
          <w:szCs w:val="24"/>
          <w:u w:val="single"/>
          <w14:textFill>
            <w14:solidFill>
              <w14:schemeClr w14:val="tx1"/>
            </w14:solidFill>
          </w14:textFill>
        </w:rPr>
        <w:t xml:space="preserve">                     　　</w:t>
      </w:r>
    </w:p>
    <w:p>
      <w:pPr>
        <w:pStyle w:val="45"/>
        <w:ind w:left="3840" w:leftChars="1600" w:firstLine="480"/>
        <w:jc w:val="right"/>
        <w:rPr>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年    月    日</w:t>
      </w:r>
    </w:p>
    <w:p>
      <w:pPr>
        <w:pStyle w:val="45"/>
        <w:ind w:firstLine="482"/>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另附委托代理人身份证复印件（加盖单位公章）。</w:t>
      </w:r>
    </w:p>
    <w:p>
      <w:pPr>
        <w:pStyle w:val="45"/>
        <w:ind w:firstLine="0" w:firstLineChars="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三、申请函</w:t>
      </w:r>
    </w:p>
    <w:p>
      <w:pPr>
        <w:pStyle w:val="45"/>
        <w:ind w:firstLine="0" w:firstLineChars="0"/>
        <w:rPr>
          <w:color w:val="000000" w:themeColor="text1"/>
          <w:szCs w:val="24"/>
          <w14:textFill>
            <w14:solidFill>
              <w14:schemeClr w14:val="tx1"/>
            </w14:solidFill>
          </w14:textFill>
        </w:rPr>
      </w:pPr>
      <w:r>
        <w:rPr>
          <w:rFonts w:hint="eastAsia"/>
          <w:color w:val="000000" w:themeColor="text1"/>
          <w:szCs w:val="24"/>
          <w:lang w:eastAsia="zh-CN"/>
          <w14:textFill>
            <w14:solidFill>
              <w14:schemeClr w14:val="tx1"/>
            </w14:solidFill>
          </w14:textFill>
        </w:rPr>
        <w:t>赣江新区人民医院</w:t>
      </w:r>
      <w:r>
        <w:rPr>
          <w:rFonts w:hint="eastAsia"/>
          <w:color w:val="000000" w:themeColor="text1"/>
          <w:szCs w:val="24"/>
          <w14:textFill>
            <w14:solidFill>
              <w14:schemeClr w14:val="tx1"/>
            </w14:solidFill>
          </w14:textFill>
        </w:rPr>
        <w:t>：</w:t>
      </w:r>
    </w:p>
    <w:p>
      <w:pPr>
        <w:pStyle w:val="45"/>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我方全面研究了</w:t>
      </w:r>
      <w:r>
        <w:rPr>
          <w:rFonts w:hint="eastAsia"/>
          <w:color w:val="000000" w:themeColor="text1"/>
          <w:szCs w:val="24"/>
          <w:u w:val="single"/>
          <w14:textFill>
            <w14:solidFill>
              <w14:schemeClr w14:val="tx1"/>
            </w14:solidFill>
          </w14:textFill>
        </w:rPr>
        <w:t>　　　　　　　　　　　　　</w:t>
      </w:r>
      <w:r>
        <w:rPr>
          <w:rFonts w:hint="eastAsia"/>
          <w:color w:val="000000" w:themeColor="text1"/>
          <w:szCs w:val="24"/>
          <w14:textFill>
            <w14:solidFill>
              <w14:schemeClr w14:val="tx1"/>
            </w14:solidFill>
          </w14:textFill>
        </w:rPr>
        <w:t>招标文件，决定参加贵单位组织的招标活动，并授权</w:t>
      </w:r>
      <w:r>
        <w:rPr>
          <w:rFonts w:hint="eastAsia"/>
          <w:color w:val="000000" w:themeColor="text1"/>
          <w:szCs w:val="24"/>
          <w:u w:val="single"/>
          <w14:textFill>
            <w14:solidFill>
              <w14:schemeClr w14:val="tx1"/>
            </w14:solidFill>
          </w14:textFill>
        </w:rPr>
        <w:t>　　　　　　　</w:t>
      </w:r>
      <w:r>
        <w:rPr>
          <w:rFonts w:hint="eastAsia"/>
          <w:color w:val="000000" w:themeColor="text1"/>
          <w:szCs w:val="24"/>
          <w14:textFill>
            <w14:solidFill>
              <w14:schemeClr w14:val="tx1"/>
            </w14:solidFill>
          </w14:textFill>
        </w:rPr>
        <w:t>（姓名、职务）代表我方全权处理本次招标活动的全部事宜。</w:t>
      </w:r>
    </w:p>
    <w:p>
      <w:pPr>
        <w:pStyle w:val="45"/>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1、我方自愿按照招标文件规定的各项要求向用户单位提供文件所规定的全部服务。 </w:t>
      </w:r>
    </w:p>
    <w:p>
      <w:pPr>
        <w:pStyle w:val="45"/>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2、一旦确认我方为中选人，我方将严格履行合同规定的责任和义务，保证于合同签字生效后</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日内提供服务，并交付用户单位验收、使用。</w:t>
      </w:r>
    </w:p>
    <w:p>
      <w:pPr>
        <w:pStyle w:val="45"/>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4、我方同意提供与招标有关的其他文件资料，并保证已经提供和将要提供的文件资料是真实、准确的，否则，愿意承担由此产生的一切责任。</w:t>
      </w:r>
    </w:p>
    <w:p>
      <w:pPr>
        <w:pStyle w:val="45"/>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5、一旦确定我方为中选人，我方将严格按照申请书和所签订合同的要求，做好交货及售后服务。</w:t>
      </w:r>
    </w:p>
    <w:p>
      <w:pPr>
        <w:pStyle w:val="45"/>
        <w:ind w:firstLine="480"/>
        <w:rPr>
          <w:color w:val="000000" w:themeColor="text1"/>
          <w:szCs w:val="24"/>
          <w14:textFill>
            <w14:solidFill>
              <w14:schemeClr w14:val="tx1"/>
            </w14:solidFill>
          </w14:textFill>
        </w:rPr>
      </w:pPr>
    </w:p>
    <w:p>
      <w:pPr>
        <w:pStyle w:val="45"/>
        <w:ind w:left="2160" w:leftChars="900"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申请人名称（盖章）：</w:t>
      </w:r>
      <w:r>
        <w:rPr>
          <w:rFonts w:hint="eastAsia"/>
          <w:color w:val="000000" w:themeColor="text1"/>
          <w:szCs w:val="24"/>
          <w:u w:val="single"/>
          <w14:textFill>
            <w14:solidFill>
              <w14:schemeClr w14:val="tx1"/>
            </w14:solidFill>
          </w14:textFill>
        </w:rPr>
        <w:t xml:space="preserve">　      　　　 </w:t>
      </w:r>
      <w:r>
        <w:rPr>
          <w:color w:val="000000" w:themeColor="text1"/>
          <w:szCs w:val="24"/>
          <w:u w:val="single"/>
          <w14:textFill>
            <w14:solidFill>
              <w14:schemeClr w14:val="tx1"/>
            </w14:solidFill>
          </w14:textFill>
        </w:rPr>
        <w:t xml:space="preserve">              </w:t>
      </w:r>
      <w:r>
        <w:rPr>
          <w:rFonts w:hint="eastAsia"/>
          <w:color w:val="000000" w:themeColor="text1"/>
          <w:szCs w:val="24"/>
          <w:u w:val="single"/>
          <w14:textFill>
            <w14:solidFill>
              <w14:schemeClr w14:val="tx1"/>
            </w14:solidFill>
          </w14:textFill>
        </w:rPr>
        <w:t xml:space="preserve">   </w:t>
      </w:r>
    </w:p>
    <w:p>
      <w:pPr>
        <w:pStyle w:val="45"/>
        <w:ind w:left="2160" w:leftChars="900" w:firstLine="480"/>
        <w:rPr>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法定代表人或委托代理人（签字）：</w:t>
      </w:r>
      <w:r>
        <w:rPr>
          <w:rFonts w:hint="eastAsia"/>
          <w:color w:val="000000" w:themeColor="text1"/>
          <w:szCs w:val="24"/>
          <w:u w:val="single"/>
          <w14:textFill>
            <w14:solidFill>
              <w14:schemeClr w14:val="tx1"/>
            </w14:solidFill>
          </w14:textFill>
        </w:rPr>
        <w:t>　　　　　　　　　　</w:t>
      </w:r>
    </w:p>
    <w:p>
      <w:pPr>
        <w:pStyle w:val="45"/>
        <w:ind w:left="2160" w:leftChars="900" w:firstLine="480"/>
        <w:rPr>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 xml:space="preserve">通讯地址： </w:t>
      </w:r>
      <w:r>
        <w:rPr>
          <w:rFonts w:hint="eastAsia"/>
          <w:color w:val="000000" w:themeColor="text1"/>
          <w:szCs w:val="24"/>
          <w:u w:val="single"/>
          <w14:textFill>
            <w14:solidFill>
              <w14:schemeClr w14:val="tx1"/>
            </w14:solidFill>
          </w14:textFill>
        </w:rPr>
        <w:t>　　　　　　　　　　　　　　　　　　　　</w:t>
      </w:r>
    </w:p>
    <w:p>
      <w:pPr>
        <w:pStyle w:val="45"/>
        <w:ind w:left="2160" w:leftChars="900" w:firstLine="480"/>
        <w:rPr>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联系电话：</w:t>
      </w:r>
      <w:r>
        <w:rPr>
          <w:rFonts w:hint="eastAsia"/>
          <w:color w:val="000000" w:themeColor="text1"/>
          <w:szCs w:val="24"/>
          <w:u w:val="single"/>
          <w14:textFill>
            <w14:solidFill>
              <w14:schemeClr w14:val="tx1"/>
            </w14:solidFill>
          </w14:textFill>
        </w:rPr>
        <w:t>　　　　                             　　</w:t>
      </w: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45"/>
        <w:ind w:firstLine="556" w:firstLineChars="232"/>
        <w:rPr>
          <w:b/>
          <w:color w:val="000000" w:themeColor="text1"/>
          <w14:textFill>
            <w14:solidFill>
              <w14:schemeClr w14:val="tx1"/>
            </w14:solidFill>
          </w14:textFill>
        </w:rPr>
      </w:pPr>
    </w:p>
    <w:p>
      <w:pPr>
        <w:pStyle w:val="45"/>
        <w:ind w:firstLine="556" w:firstLineChars="232"/>
        <w:rPr>
          <w:b/>
          <w:color w:val="000000" w:themeColor="text1"/>
          <w14:textFill>
            <w14:solidFill>
              <w14:schemeClr w14:val="tx1"/>
            </w14:solidFill>
          </w14:textFill>
        </w:rPr>
      </w:pPr>
    </w:p>
    <w:p>
      <w:pPr>
        <w:pStyle w:val="45"/>
        <w:ind w:firstLine="556" w:firstLineChars="232"/>
        <w:rPr>
          <w:b/>
          <w:color w:val="000000" w:themeColor="text1"/>
          <w14:textFill>
            <w14:solidFill>
              <w14:schemeClr w14:val="tx1"/>
            </w14:solidFill>
          </w14:textFill>
        </w:rPr>
      </w:pPr>
    </w:p>
    <w:p>
      <w:pPr>
        <w:pStyle w:val="45"/>
        <w:ind w:firstLine="556" w:firstLineChars="232"/>
        <w:rPr>
          <w:b/>
          <w:color w:val="000000" w:themeColor="text1"/>
          <w14:textFill>
            <w14:solidFill>
              <w14:schemeClr w14:val="tx1"/>
            </w14:solidFill>
          </w14:textFill>
        </w:rPr>
      </w:pPr>
    </w:p>
    <w:p>
      <w:pPr>
        <w:pStyle w:val="45"/>
        <w:ind w:firstLine="556" w:firstLineChars="232"/>
        <w:rPr>
          <w:b/>
          <w:color w:val="000000" w:themeColor="text1"/>
          <w14:textFill>
            <w14:solidFill>
              <w14:schemeClr w14:val="tx1"/>
            </w14:solidFill>
          </w14:textFill>
        </w:rPr>
      </w:pPr>
    </w:p>
    <w:p>
      <w:pPr>
        <w:pStyle w:val="45"/>
        <w:ind w:firstLine="556" w:firstLineChars="232"/>
        <w:rPr>
          <w:b/>
          <w:color w:val="000000" w:themeColor="text1"/>
          <w14:textFill>
            <w14:solidFill>
              <w14:schemeClr w14:val="tx1"/>
            </w14:solidFill>
          </w14:textFill>
        </w:rPr>
      </w:pPr>
      <w:r>
        <w:rPr>
          <w:rFonts w:hint="eastAsia"/>
          <w:b/>
          <w:color w:val="000000" w:themeColor="text1"/>
          <w14:textFill>
            <w14:solidFill>
              <w14:schemeClr w14:val="tx1"/>
            </w14:solidFill>
          </w14:textFill>
        </w:rPr>
        <w:t>附：法定代表人、被授权人身份证复印件。（二代身份证需提供正反面）</w:t>
      </w:r>
    </w:p>
    <w:tbl>
      <w:tblPr>
        <w:tblStyle w:val="29"/>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3"/>
        <w:gridCol w:w="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453" w:type="dxa"/>
            <w:tcBorders>
              <w:top w:val="single" w:color="auto" w:sz="4" w:space="0"/>
              <w:left w:val="single" w:color="auto" w:sz="4" w:space="0"/>
              <w:bottom w:val="single" w:color="auto" w:sz="4" w:space="0"/>
              <w:right w:val="single" w:color="auto" w:sz="4" w:space="0"/>
            </w:tcBorders>
            <w:vAlign w:val="center"/>
          </w:tcPr>
          <w:p>
            <w:pPr>
              <w:pStyle w:val="45"/>
              <w:ind w:firstLine="480"/>
              <w:rPr>
                <w:color w:val="000000" w:themeColor="text1"/>
                <w14:textFill>
                  <w14:solidFill>
                    <w14:schemeClr w14:val="tx1"/>
                  </w14:solidFill>
                </w14:textFill>
              </w:rPr>
            </w:pPr>
          </w:p>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法定代表人身份证复印件（正面）</w:t>
            </w:r>
          </w:p>
          <w:p>
            <w:pPr>
              <w:pStyle w:val="45"/>
              <w:ind w:firstLine="480"/>
              <w:rPr>
                <w:color w:val="000000" w:themeColor="text1"/>
                <w14:textFill>
                  <w14:solidFill>
                    <w14:schemeClr w14:val="tx1"/>
                  </w14:solidFill>
                </w14:textFill>
              </w:rPr>
            </w:pPr>
          </w:p>
        </w:tc>
        <w:tc>
          <w:tcPr>
            <w:tcW w:w="4454" w:type="dxa"/>
            <w:tcBorders>
              <w:top w:val="single" w:color="auto" w:sz="4" w:space="0"/>
              <w:left w:val="single" w:color="auto" w:sz="4" w:space="0"/>
              <w:bottom w:val="single" w:color="auto" w:sz="4" w:space="0"/>
              <w:right w:val="single" w:color="auto" w:sz="4" w:space="0"/>
            </w:tcBorders>
            <w:vAlign w:val="center"/>
          </w:tcPr>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被授权人身份证复印件（正面）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4453" w:type="dxa"/>
            <w:tcBorders>
              <w:top w:val="single" w:color="auto" w:sz="4" w:space="0"/>
              <w:left w:val="single" w:color="auto" w:sz="4" w:space="0"/>
              <w:bottom w:val="single" w:color="auto" w:sz="4" w:space="0"/>
              <w:right w:val="single" w:color="auto" w:sz="4" w:space="0"/>
            </w:tcBorders>
            <w:vAlign w:val="center"/>
          </w:tcPr>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法定代表人身份证复印件（反面）</w:t>
            </w:r>
          </w:p>
        </w:tc>
        <w:tc>
          <w:tcPr>
            <w:tcW w:w="4454" w:type="dxa"/>
            <w:tcBorders>
              <w:top w:val="single" w:color="auto" w:sz="4" w:space="0"/>
              <w:left w:val="single" w:color="auto" w:sz="4" w:space="0"/>
              <w:bottom w:val="single" w:color="auto" w:sz="4" w:space="0"/>
              <w:right w:val="single" w:color="auto" w:sz="4" w:space="0"/>
            </w:tcBorders>
            <w:vAlign w:val="center"/>
          </w:tcPr>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被授权人身份证复印件（反面）</w:t>
            </w:r>
          </w:p>
        </w:tc>
      </w:tr>
    </w:tbl>
    <w:p>
      <w:pPr>
        <w:pStyle w:val="45"/>
        <w:ind w:firstLine="0" w:firstLineChars="0"/>
        <w:rPr>
          <w:b/>
          <w:color w:val="000000" w:themeColor="text1"/>
          <w14:textFill>
            <w14:solidFill>
              <w14:schemeClr w14:val="tx1"/>
            </w14:solidFill>
          </w14:textFill>
        </w:rPr>
      </w:pPr>
    </w:p>
    <w:p>
      <w:pPr>
        <w:pStyle w:val="45"/>
        <w:ind w:firstLine="0" w:firstLineChars="0"/>
        <w:rPr>
          <w:b/>
          <w:color w:val="FF0000"/>
        </w:rPr>
      </w:pPr>
      <w:r>
        <w:rPr>
          <w:rFonts w:hint="eastAsia"/>
          <w:b/>
          <w:color w:val="000000" w:themeColor="text1"/>
          <w14:textFill>
            <w14:solidFill>
              <w14:schemeClr w14:val="tx1"/>
            </w14:solidFill>
          </w14:textFill>
        </w:rPr>
        <w:t xml:space="preserve">四、开标一览表（报价表）: </w:t>
      </w:r>
      <w:r>
        <w:rPr>
          <w:rFonts w:hint="eastAsia"/>
          <w:b/>
          <w:color w:val="FF0000"/>
        </w:rPr>
        <w:t>本次招标为一次报价。</w:t>
      </w:r>
    </w:p>
    <w:p>
      <w:pPr>
        <w:pStyle w:val="45"/>
        <w:ind w:firstLine="0" w:firstLineChars="0"/>
        <w:rPr>
          <w:b/>
          <w:color w:val="FF0000"/>
        </w:rPr>
      </w:pPr>
      <w:r>
        <w:rPr>
          <w:rFonts w:hint="eastAsia"/>
          <w:b/>
          <w:color w:val="FF0000"/>
        </w:rPr>
        <w:t>投标文件中的开标一览表须由法定代表人或委托代理人签字并加盖投标人公章。表格内的报价必须为打印版，手写或涂改视为无效投标。</w:t>
      </w:r>
    </w:p>
    <w:p>
      <w:pPr>
        <w:pStyle w:val="4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项目名称： </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1"/>
        <w:gridCol w:w="1917"/>
        <w:gridCol w:w="1917"/>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373" w:type="pct"/>
            <w:tcBorders>
              <w:top w:val="single" w:color="auto" w:sz="4" w:space="0"/>
              <w:left w:val="single" w:color="auto" w:sz="4" w:space="0"/>
              <w:bottom w:val="single" w:color="auto" w:sz="4" w:space="0"/>
              <w:right w:val="single" w:color="auto" w:sz="4" w:space="0"/>
            </w:tcBorders>
            <w:vAlign w:val="center"/>
          </w:tcPr>
          <w:p>
            <w:pPr>
              <w:pStyle w:val="45"/>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品名</w:t>
            </w:r>
          </w:p>
        </w:tc>
        <w:tc>
          <w:tcPr>
            <w:tcW w:w="1078" w:type="pct"/>
            <w:tcBorders>
              <w:top w:val="single" w:color="auto" w:sz="4" w:space="0"/>
              <w:left w:val="single" w:color="auto" w:sz="4" w:space="0"/>
              <w:bottom w:val="single" w:color="auto" w:sz="4" w:space="0"/>
              <w:right w:val="single" w:color="auto" w:sz="4" w:space="0"/>
            </w:tcBorders>
            <w:vAlign w:val="center"/>
          </w:tcPr>
          <w:p>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p>
        </w:tc>
        <w:tc>
          <w:tcPr>
            <w:tcW w:w="1078" w:type="pct"/>
            <w:tcBorders>
              <w:top w:val="single" w:color="auto" w:sz="4" w:space="0"/>
              <w:left w:val="single" w:color="auto" w:sz="4" w:space="0"/>
              <w:bottom w:val="single" w:color="auto" w:sz="4" w:space="0"/>
              <w:right w:val="single" w:color="auto" w:sz="4" w:space="0"/>
            </w:tcBorders>
            <w:vAlign w:val="center"/>
          </w:tcPr>
          <w:p>
            <w:pPr>
              <w:pStyle w:val="45"/>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总价</w:t>
            </w:r>
          </w:p>
        </w:tc>
        <w:tc>
          <w:tcPr>
            <w:tcW w:w="1471" w:type="pct"/>
            <w:tcBorders>
              <w:top w:val="single" w:color="auto" w:sz="4" w:space="0"/>
              <w:left w:val="single" w:color="auto" w:sz="4" w:space="0"/>
              <w:bottom w:val="single" w:color="auto" w:sz="4" w:space="0"/>
              <w:right w:val="single" w:color="auto" w:sz="4" w:space="0"/>
            </w:tcBorders>
            <w:vAlign w:val="center"/>
          </w:tcPr>
          <w:p>
            <w:pPr>
              <w:pStyle w:val="45"/>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373" w:type="pct"/>
            <w:tcBorders>
              <w:top w:val="single" w:color="auto" w:sz="4" w:space="0"/>
              <w:left w:val="single" w:color="auto" w:sz="4" w:space="0"/>
              <w:right w:val="single" w:color="auto" w:sz="4" w:space="0"/>
            </w:tcBorders>
          </w:tcPr>
          <w:p>
            <w:pPr>
              <w:pStyle w:val="45"/>
              <w:ind w:firstLine="480"/>
              <w:rPr>
                <w:color w:val="000000" w:themeColor="text1"/>
                <w14:textFill>
                  <w14:solidFill>
                    <w14:schemeClr w14:val="tx1"/>
                  </w14:solidFill>
                </w14:textFill>
              </w:rPr>
            </w:pPr>
          </w:p>
        </w:tc>
        <w:tc>
          <w:tcPr>
            <w:tcW w:w="1078" w:type="pct"/>
            <w:tcBorders>
              <w:top w:val="single" w:color="auto" w:sz="4" w:space="0"/>
              <w:left w:val="single" w:color="auto" w:sz="4" w:space="0"/>
              <w:right w:val="single" w:color="auto" w:sz="4" w:space="0"/>
            </w:tcBorders>
          </w:tcPr>
          <w:p>
            <w:pPr>
              <w:pStyle w:val="45"/>
              <w:ind w:firstLine="480"/>
              <w:rPr>
                <w:color w:val="000000" w:themeColor="text1"/>
                <w14:textFill>
                  <w14:solidFill>
                    <w14:schemeClr w14:val="tx1"/>
                  </w14:solidFill>
                </w14:textFill>
              </w:rPr>
            </w:pPr>
          </w:p>
        </w:tc>
        <w:tc>
          <w:tcPr>
            <w:tcW w:w="1078" w:type="pct"/>
            <w:tcBorders>
              <w:top w:val="single" w:color="auto" w:sz="4" w:space="0"/>
              <w:left w:val="single" w:color="auto" w:sz="4" w:space="0"/>
              <w:right w:val="single" w:color="auto" w:sz="4" w:space="0"/>
            </w:tcBorders>
          </w:tcPr>
          <w:p>
            <w:pPr>
              <w:pStyle w:val="45"/>
              <w:ind w:firstLine="480"/>
              <w:rPr>
                <w:color w:val="000000" w:themeColor="text1"/>
                <w14:textFill>
                  <w14:solidFill>
                    <w14:schemeClr w14:val="tx1"/>
                  </w14:solidFill>
                </w14:textFill>
              </w:rPr>
            </w:pPr>
          </w:p>
        </w:tc>
        <w:tc>
          <w:tcPr>
            <w:tcW w:w="1471" w:type="pct"/>
            <w:tcBorders>
              <w:top w:val="single" w:color="auto" w:sz="4" w:space="0"/>
              <w:left w:val="single" w:color="auto" w:sz="4" w:space="0"/>
              <w:right w:val="single" w:color="auto" w:sz="4" w:space="0"/>
            </w:tcBorders>
          </w:tcPr>
          <w:p>
            <w:pPr>
              <w:pStyle w:val="45"/>
              <w:ind w:firstLine="480"/>
              <w:rPr>
                <w:color w:val="000000" w:themeColor="text1"/>
                <w14:textFill>
                  <w14:solidFill>
                    <w14:schemeClr w14:val="tx1"/>
                  </w14:solidFill>
                </w14:textFill>
              </w:rPr>
            </w:pPr>
          </w:p>
        </w:tc>
      </w:tr>
    </w:tbl>
    <w:p>
      <w:pPr>
        <w:pStyle w:val="45"/>
        <w:ind w:firstLine="482"/>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“开标一览表”均需由法定代表人或委托代理人签字并加盖投标人印章。</w:t>
      </w:r>
    </w:p>
    <w:p>
      <w:pPr>
        <w:pStyle w:val="45"/>
        <w:ind w:firstLine="480"/>
        <w:rPr>
          <w:color w:val="000000" w:themeColor="text1"/>
          <w:szCs w:val="24"/>
          <w14:textFill>
            <w14:solidFill>
              <w14:schemeClr w14:val="tx1"/>
            </w14:solidFill>
          </w14:textFill>
        </w:rPr>
      </w:pPr>
    </w:p>
    <w:p>
      <w:pPr>
        <w:pStyle w:val="45"/>
        <w:ind w:left="2880" w:leftChars="1200"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申请人名称（盖章）：</w:t>
      </w:r>
      <w:r>
        <w:rPr>
          <w:rFonts w:hint="eastAsia"/>
          <w:color w:val="000000" w:themeColor="text1"/>
          <w:szCs w:val="24"/>
          <w:u w:val="single"/>
          <w14:textFill>
            <w14:solidFill>
              <w14:schemeClr w14:val="tx1"/>
            </w14:solidFill>
          </w14:textFill>
        </w:rPr>
        <w:t xml:space="preserve">　　　      </w:t>
      </w:r>
      <w:r>
        <w:rPr>
          <w:color w:val="000000" w:themeColor="text1"/>
          <w:szCs w:val="24"/>
          <w:u w:val="single"/>
          <w14:textFill>
            <w14:solidFill>
              <w14:schemeClr w14:val="tx1"/>
            </w14:solidFill>
          </w14:textFill>
        </w:rPr>
        <w:t xml:space="preserve"> </w:t>
      </w:r>
      <w:r>
        <w:rPr>
          <w:rFonts w:hint="eastAsia"/>
          <w:color w:val="000000" w:themeColor="text1"/>
          <w:szCs w:val="24"/>
          <w:u w:val="single"/>
          <w14:textFill>
            <w14:solidFill>
              <w14:schemeClr w14:val="tx1"/>
            </w14:solidFill>
          </w14:textFill>
        </w:rPr>
        <w:t xml:space="preserve">              </w:t>
      </w:r>
    </w:p>
    <w:p>
      <w:pPr>
        <w:pStyle w:val="45"/>
        <w:ind w:left="2880" w:leftChars="1200" w:firstLine="480"/>
        <w:rPr>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法定代表人或委托代理人（签字）：</w:t>
      </w:r>
      <w:r>
        <w:rPr>
          <w:rFonts w:hint="eastAsia"/>
          <w:color w:val="000000" w:themeColor="text1"/>
          <w:szCs w:val="24"/>
          <w:u w:val="single"/>
          <w14:textFill>
            <w14:solidFill>
              <w14:schemeClr w14:val="tx1"/>
            </w14:solidFill>
          </w14:textFill>
        </w:rPr>
        <w:t>　　　　　　　</w:t>
      </w:r>
    </w:p>
    <w:p>
      <w:pPr>
        <w:pStyle w:val="45"/>
        <w:ind w:left="2880" w:leftChars="1200" w:firstLine="480"/>
        <w:rPr>
          <w:color w:val="000000" w:themeColor="text1"/>
          <w:sz w:val="26"/>
          <w:szCs w:val="24"/>
          <w:u w:val="single"/>
          <w14:textFill>
            <w14:solidFill>
              <w14:schemeClr w14:val="tx1"/>
            </w14:solidFill>
          </w14:textFill>
        </w:rPr>
      </w:pPr>
      <w:r>
        <w:rPr>
          <w:rFonts w:hint="eastAsia"/>
          <w:color w:val="000000" w:themeColor="text1"/>
          <w:szCs w:val="24"/>
          <w14:textFill>
            <w14:solidFill>
              <w14:schemeClr w14:val="tx1"/>
            </w14:solidFill>
          </w14:textFill>
        </w:rPr>
        <w:t>时间：</w:t>
      </w:r>
      <w:r>
        <w:rPr>
          <w:rFonts w:hint="eastAsia"/>
          <w:color w:val="000000" w:themeColor="text1"/>
          <w:szCs w:val="24"/>
          <w:u w:val="single"/>
          <w14:textFill>
            <w14:solidFill>
              <w14:schemeClr w14:val="tx1"/>
            </w14:solidFill>
          </w14:textFill>
        </w:rPr>
        <w:t>　　　　　　　　　             　　　</w:t>
      </w:r>
      <w:r>
        <w:rPr>
          <w:rFonts w:hint="eastAsia"/>
          <w:color w:val="000000" w:themeColor="text1"/>
          <w:sz w:val="26"/>
          <w:szCs w:val="24"/>
          <w:u w:val="single"/>
          <w14:textFill>
            <w14:solidFill>
              <w14:schemeClr w14:val="tx1"/>
            </w14:solidFill>
          </w14:textFill>
        </w:rPr>
        <w:t>　</w:t>
      </w:r>
    </w:p>
    <w:p>
      <w:pPr>
        <w:spacing w:before="240" w:line="440" w:lineRule="atLeast"/>
        <w:rPr>
          <w:b/>
          <w:color w:val="000000" w:themeColor="text1"/>
          <w14:textFill>
            <w14:solidFill>
              <w14:schemeClr w14:val="tx1"/>
            </w14:solidFill>
          </w14:textFill>
        </w:rPr>
      </w:pPr>
    </w:p>
    <w:p>
      <w:pPr>
        <w:spacing w:before="240" w:line="440" w:lineRule="atLeast"/>
        <w:rPr>
          <w:b/>
          <w:color w:val="000000" w:themeColor="text1"/>
          <w14:textFill>
            <w14:solidFill>
              <w14:schemeClr w14:val="tx1"/>
            </w14:solidFill>
          </w14:textFill>
        </w:rPr>
      </w:pPr>
    </w:p>
    <w:p>
      <w:pPr>
        <w:spacing w:before="240" w:line="440" w:lineRule="atLeast"/>
        <w:rPr>
          <w:b/>
          <w:color w:val="000000" w:themeColor="text1"/>
          <w14:textFill>
            <w14:solidFill>
              <w14:schemeClr w14:val="tx1"/>
            </w14:solidFill>
          </w14:textFill>
        </w:rPr>
      </w:pPr>
      <w:r>
        <w:rPr>
          <w:rFonts w:hint="eastAsia"/>
          <w:b/>
          <w:color w:val="000000" w:themeColor="text1"/>
          <w14:textFill>
            <w14:solidFill>
              <w14:schemeClr w14:val="tx1"/>
            </w14:solidFill>
          </w14:textFill>
        </w:rPr>
        <w:t>五、满足招标文件中的技术和商务条款</w:t>
      </w:r>
      <w:r>
        <w:rPr>
          <w:b/>
          <w:color w:val="000000" w:themeColor="text1"/>
          <w14:textFill>
            <w14:solidFill>
              <w14:schemeClr w14:val="tx1"/>
            </w14:solidFill>
          </w14:textFill>
        </w:rPr>
        <w:t>承诺</w:t>
      </w:r>
      <w:r>
        <w:rPr>
          <w:rFonts w:hint="eastAsia"/>
          <w:b/>
          <w:color w:val="000000" w:themeColor="text1"/>
          <w14:textFill>
            <w14:solidFill>
              <w14:schemeClr w14:val="tx1"/>
            </w14:solidFill>
          </w14:textFill>
        </w:rPr>
        <w:t>函</w:t>
      </w:r>
      <w:r>
        <w:rPr>
          <w:b/>
          <w:color w:val="000000" w:themeColor="text1"/>
          <w14:textFill>
            <w14:solidFill>
              <w14:schemeClr w14:val="tx1"/>
            </w14:solidFill>
          </w14:textFill>
        </w:rPr>
        <w:t>（格式）</w:t>
      </w:r>
    </w:p>
    <w:p>
      <w:pPr>
        <w:pStyle w:val="60"/>
        <w:spacing w:line="440" w:lineRule="atLeast"/>
        <w:ind w:left="916"/>
        <w:jc w:val="both"/>
        <w:rPr>
          <w:rFonts w:ascii="Times New Roman" w:cstheme="minorBidi"/>
          <w:b/>
          <w:color w:val="000000" w:themeColor="text1"/>
          <w:kern w:val="2"/>
          <w:szCs w:val="22"/>
          <w14:textFill>
            <w14:solidFill>
              <w14:schemeClr w14:val="tx1"/>
            </w14:solidFill>
          </w14:textFill>
        </w:rPr>
      </w:pPr>
    </w:p>
    <w:tbl>
      <w:tblPr>
        <w:tblStyle w:val="29"/>
        <w:tblW w:w="8901"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4" w:hRule="atLeast"/>
        </w:trPr>
        <w:tc>
          <w:tcPr>
            <w:tcW w:w="8901" w:type="dxa"/>
          </w:tcPr>
          <w:p>
            <w:pPr>
              <w:spacing w:afterLines="100" w:line="440" w:lineRule="atLeast"/>
              <w:ind w:left="254" w:leftChars="106" w:firstLine="3592" w:firstLineChars="1497"/>
              <w:rPr>
                <w:b/>
                <w:color w:val="000000" w:themeColor="text1"/>
                <w14:textFill>
                  <w14:solidFill>
                    <w14:schemeClr w14:val="tx1"/>
                  </w14:solidFill>
                </w14:textFill>
              </w:rPr>
            </w:pPr>
          </w:p>
          <w:p>
            <w:pPr>
              <w:spacing w:afterLines="100" w:line="440" w:lineRule="atLeast"/>
              <w:ind w:left="254" w:leftChars="106" w:firstLine="3588" w:firstLineChars="1495"/>
              <w:rPr>
                <w:rFonts w:asciiTheme="minorEastAsia" w:hAnsiTheme="minorEastAsia" w:eastAsiaTheme="minorEastAsia"/>
                <w:szCs w:val="24"/>
              </w:rPr>
            </w:pPr>
            <w:r>
              <w:rPr>
                <w:b/>
                <w:color w:val="000000" w:themeColor="text1"/>
                <w14:textFill>
                  <w14:solidFill>
                    <w14:schemeClr w14:val="tx1"/>
                  </w14:solidFill>
                </w14:textFill>
              </w:rPr>
              <w:t>承诺</w:t>
            </w:r>
            <w:r>
              <w:rPr>
                <w:rFonts w:hint="eastAsia"/>
                <w:b/>
                <w:color w:val="000000" w:themeColor="text1"/>
                <w14:textFill>
                  <w14:solidFill>
                    <w14:schemeClr w14:val="tx1"/>
                  </w14:solidFill>
                </w14:textFill>
              </w:rPr>
              <w:t>函</w:t>
            </w:r>
          </w:p>
          <w:p>
            <w:pPr>
              <w:spacing w:afterLines="100" w:line="440" w:lineRule="atLeast"/>
              <w:ind w:left="254" w:firstLine="3240" w:firstLineChars="1350"/>
              <w:rPr>
                <w:rFonts w:asciiTheme="minorEastAsia" w:hAnsiTheme="minorEastAsia" w:eastAsiaTheme="minorEastAsia"/>
                <w:szCs w:val="24"/>
              </w:rPr>
            </w:pPr>
            <w:r>
              <w:rPr>
                <w:rFonts w:hint="eastAsia" w:asciiTheme="minorEastAsia" w:hAnsiTheme="minorEastAsia" w:eastAsiaTheme="minorEastAsia"/>
                <w:szCs w:val="24"/>
              </w:rPr>
              <w:t>（格式供参考）</w:t>
            </w:r>
          </w:p>
          <w:p>
            <w:pPr>
              <w:spacing w:line="440" w:lineRule="atLeast"/>
              <w:ind w:left="1170"/>
              <w:rPr>
                <w:rFonts w:asciiTheme="minorEastAsia" w:hAnsiTheme="minorEastAsia" w:eastAsiaTheme="minorEastAsia"/>
                <w:color w:val="000000"/>
                <w:szCs w:val="24"/>
              </w:rPr>
            </w:pPr>
          </w:p>
          <w:p>
            <w:pPr>
              <w:spacing w:line="440" w:lineRule="atLeast"/>
              <w:ind w:firstLine="720" w:firstLineChars="300"/>
              <w:rPr>
                <w:rFonts w:hint="eastAsia" w:asciiTheme="minorEastAsia" w:hAnsiTheme="minorEastAsia" w:eastAsiaTheme="minorEastAsia"/>
                <w:color w:val="000000"/>
                <w:szCs w:val="24"/>
                <w:lang w:eastAsia="zh-CN"/>
              </w:rPr>
            </w:pPr>
            <w:r>
              <w:rPr>
                <w:rFonts w:asciiTheme="minorEastAsia" w:hAnsiTheme="minorEastAsia" w:eastAsiaTheme="minorEastAsia"/>
                <w:color w:val="000000"/>
                <w:szCs w:val="24"/>
              </w:rPr>
              <w:t>致：</w:t>
            </w:r>
            <w:r>
              <w:rPr>
                <w:rFonts w:hint="eastAsia" w:asciiTheme="minorEastAsia" w:hAnsiTheme="minorEastAsia" w:eastAsiaTheme="minorEastAsia"/>
                <w:color w:val="000000"/>
                <w:szCs w:val="24"/>
                <w:lang w:eastAsia="zh-CN"/>
              </w:rPr>
              <w:t>赣江新区人民医院</w:t>
            </w:r>
          </w:p>
          <w:p>
            <w:pPr>
              <w:spacing w:line="440" w:lineRule="atLeast"/>
              <w:ind w:left="720" w:leftChars="300" w:firstLine="480" w:firstLineChars="200"/>
              <w:rPr>
                <w:rFonts w:asciiTheme="minorEastAsia" w:hAnsiTheme="minorEastAsia" w:eastAsiaTheme="minorEastAsia"/>
                <w:color w:val="000000"/>
                <w:szCs w:val="24"/>
              </w:rPr>
            </w:pPr>
            <w:r>
              <w:rPr>
                <w:rFonts w:asciiTheme="minorEastAsia" w:hAnsiTheme="minorEastAsia" w:eastAsiaTheme="minorEastAsia"/>
                <w:color w:val="000000"/>
                <w:szCs w:val="24"/>
              </w:rPr>
              <w:t>本公司（或单位）</w:t>
            </w:r>
            <w:r>
              <w:rPr>
                <w:rFonts w:hint="eastAsia" w:asciiTheme="minorEastAsia" w:hAnsiTheme="minorEastAsia" w:eastAsiaTheme="minorEastAsia"/>
                <w:color w:val="000000"/>
                <w:szCs w:val="24"/>
              </w:rPr>
              <w:t>满足</w:t>
            </w:r>
            <w:r>
              <w:rPr>
                <w:rFonts w:asciiTheme="minorEastAsia" w:hAnsiTheme="minorEastAsia" w:eastAsiaTheme="minorEastAsia"/>
                <w:color w:val="000000"/>
                <w:szCs w:val="24"/>
              </w:rPr>
              <w:t>本项目</w:t>
            </w:r>
            <w:r>
              <w:rPr>
                <w:rFonts w:hint="eastAsia" w:asciiTheme="minorEastAsia" w:hAnsiTheme="minorEastAsia" w:eastAsiaTheme="minorEastAsia"/>
                <w:color w:val="000000"/>
                <w:szCs w:val="24"/>
              </w:rPr>
              <w:t>采购需求中的所有技术和商务条款</w:t>
            </w:r>
            <w:r>
              <w:rPr>
                <w:rFonts w:asciiTheme="minorEastAsia" w:hAnsiTheme="minorEastAsia" w:eastAsiaTheme="minorEastAsia"/>
                <w:color w:val="000000"/>
                <w:szCs w:val="24"/>
              </w:rPr>
              <w:t>，</w:t>
            </w:r>
          </w:p>
          <w:p>
            <w:pPr>
              <w:spacing w:line="440" w:lineRule="atLeast"/>
              <w:ind w:firstLine="720" w:firstLineChars="300"/>
              <w:rPr>
                <w:rFonts w:asciiTheme="minorEastAsia" w:hAnsiTheme="minorEastAsia" w:eastAsiaTheme="minorEastAsia"/>
                <w:color w:val="000000"/>
                <w:szCs w:val="24"/>
              </w:rPr>
            </w:pPr>
            <w:r>
              <w:rPr>
                <w:rFonts w:asciiTheme="minorEastAsia" w:hAnsiTheme="minorEastAsia" w:eastAsiaTheme="minorEastAsia"/>
                <w:color w:val="000000"/>
                <w:szCs w:val="24"/>
              </w:rPr>
              <w:t>特此承诺。</w:t>
            </w:r>
            <w:r>
              <w:rPr>
                <w:rFonts w:hint="eastAsia" w:asciiTheme="minorEastAsia" w:hAnsiTheme="minorEastAsia" w:eastAsiaTheme="minorEastAsia"/>
                <w:color w:val="000000"/>
                <w:szCs w:val="24"/>
              </w:rPr>
              <w:t>如虚假响应，我公司愿意承担一切后果。</w:t>
            </w:r>
          </w:p>
          <w:p>
            <w:pPr>
              <w:spacing w:line="440" w:lineRule="atLeast"/>
              <w:ind w:left="1170"/>
              <w:rPr>
                <w:rFonts w:asciiTheme="minorEastAsia" w:hAnsiTheme="minorEastAsia" w:eastAsiaTheme="minorEastAsia"/>
                <w:color w:val="000000"/>
                <w:szCs w:val="24"/>
              </w:rPr>
            </w:pPr>
          </w:p>
          <w:p>
            <w:pPr>
              <w:spacing w:line="440" w:lineRule="atLeast"/>
              <w:ind w:left="1170" w:firstLine="240" w:firstLineChars="100"/>
              <w:rPr>
                <w:rFonts w:asciiTheme="minorEastAsia" w:hAnsiTheme="minorEastAsia" w:eastAsiaTheme="minorEastAsia"/>
                <w:szCs w:val="24"/>
              </w:rPr>
            </w:pPr>
          </w:p>
          <w:p>
            <w:pPr>
              <w:spacing w:line="440" w:lineRule="atLeast"/>
              <w:ind w:firstLine="1200" w:firstLineChars="500"/>
              <w:rPr>
                <w:rFonts w:asciiTheme="minorEastAsia" w:hAnsiTheme="minorEastAsia" w:eastAsiaTheme="minorEastAsia"/>
                <w:szCs w:val="24"/>
              </w:rPr>
            </w:pPr>
            <w:r>
              <w:rPr>
                <w:rFonts w:hint="eastAsia" w:asciiTheme="minorEastAsia" w:hAnsiTheme="minorEastAsia" w:eastAsiaTheme="minorEastAsia"/>
                <w:szCs w:val="24"/>
              </w:rPr>
              <w:t>法定代表人或委托代理签字或签章：</w:t>
            </w:r>
          </w:p>
          <w:p>
            <w:pPr>
              <w:spacing w:line="440" w:lineRule="atLeast"/>
              <w:ind w:left="1170" w:firstLine="240" w:firstLineChars="100"/>
              <w:rPr>
                <w:rFonts w:asciiTheme="minorEastAsia" w:hAnsiTheme="minorEastAsia" w:eastAsiaTheme="minorEastAsia"/>
                <w:color w:val="000000"/>
                <w:szCs w:val="24"/>
              </w:rPr>
            </w:pPr>
          </w:p>
          <w:p>
            <w:pPr>
              <w:spacing w:line="440" w:lineRule="atLeast"/>
              <w:ind w:firstLine="1200" w:firstLineChars="500"/>
              <w:rPr>
                <w:rFonts w:asciiTheme="minorEastAsia" w:hAnsiTheme="minorEastAsia" w:eastAsiaTheme="minorEastAsia"/>
                <w:szCs w:val="24"/>
              </w:rPr>
            </w:pPr>
            <w:r>
              <w:rPr>
                <w:rFonts w:hint="eastAsia" w:asciiTheme="minorEastAsia" w:hAnsiTheme="minorEastAsia" w:eastAsiaTheme="minorEastAsia"/>
                <w:szCs w:val="24"/>
              </w:rPr>
              <w:t>供应商盖章：</w:t>
            </w:r>
          </w:p>
          <w:p>
            <w:pPr>
              <w:spacing w:line="440" w:lineRule="atLeast"/>
              <w:ind w:left="1170" w:firstLine="24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                                 </w:t>
            </w:r>
          </w:p>
          <w:p>
            <w:pPr>
              <w:ind w:firstLine="1200" w:firstLineChars="500"/>
              <w:rPr>
                <w:rFonts w:asciiTheme="minorEastAsia" w:hAnsiTheme="minorEastAsia" w:eastAsiaTheme="minorEastAsia"/>
                <w:szCs w:val="24"/>
              </w:rPr>
            </w:pPr>
            <w:r>
              <w:rPr>
                <w:rFonts w:hint="eastAsia" w:asciiTheme="minorEastAsia" w:hAnsiTheme="minorEastAsia" w:eastAsiaTheme="minorEastAsia"/>
                <w:szCs w:val="24"/>
              </w:rPr>
              <w:t>日期：</w:t>
            </w:r>
          </w:p>
        </w:tc>
      </w:tr>
    </w:tbl>
    <w:p>
      <w:pPr>
        <w:rPr>
          <w:color w:val="000000" w:themeColor="text1"/>
          <w14:textFill>
            <w14:solidFill>
              <w14:schemeClr w14:val="tx1"/>
            </w14:solidFill>
          </w14:textFill>
        </w:rPr>
      </w:pPr>
    </w:p>
    <w:p>
      <w:pPr>
        <w:ind w:left="482" w:hanging="480" w:hanging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六、其他资格证明文件（供应商必须自行</w:t>
      </w:r>
      <w:r>
        <w:rPr>
          <w:b/>
          <w:color w:val="000000" w:themeColor="text1"/>
          <w14:textFill>
            <w14:solidFill>
              <w14:schemeClr w14:val="tx1"/>
            </w14:solidFill>
          </w14:textFill>
        </w:rPr>
        <w:t>添加</w:t>
      </w:r>
      <w:r>
        <w:rPr>
          <w:rFonts w:hint="eastAsia"/>
          <w:b/>
          <w:color w:val="000000" w:themeColor="text1"/>
          <w14:textFill>
            <w14:solidFill>
              <w14:schemeClr w14:val="tx1"/>
            </w14:solidFill>
          </w14:textFill>
        </w:rPr>
        <w:t>放入投标文件）</w:t>
      </w:r>
    </w:p>
    <w:p>
      <w:pPr>
        <w:rPr>
          <w:b/>
          <w:color w:val="000000" w:themeColor="text1"/>
          <w14:textFill>
            <w14:solidFill>
              <w14:schemeClr w14:val="tx1"/>
            </w14:solidFill>
          </w14:textFill>
        </w:rPr>
        <w:sectPr>
          <w:pgSz w:w="11907" w:h="16840"/>
          <w:pgMar w:top="1418" w:right="1418" w:bottom="1418" w:left="1814" w:header="1134" w:footer="851" w:gutter="0"/>
          <w:pgNumType w:fmt="numberInDash"/>
          <w:cols w:space="425" w:num="1"/>
          <w:titlePg/>
          <w:docGrid w:type="linesAndChars" w:linePitch="312" w:charSpace="0"/>
        </w:sectPr>
      </w:pPr>
    </w:p>
    <w:p>
      <w:pPr>
        <w:pStyle w:val="53"/>
        <w:spacing w:before="0"/>
        <w:rPr>
          <w:color w:val="000000" w:themeColor="text1"/>
          <w14:textFill>
            <w14:solidFill>
              <w14:schemeClr w14:val="tx1"/>
            </w14:solidFill>
          </w14:textFill>
        </w:rPr>
      </w:pPr>
      <w:bookmarkStart w:id="66" w:name="_Toc4263592"/>
      <w:bookmarkStart w:id="67" w:name="_Toc42160948"/>
      <w:r>
        <w:rPr>
          <w:rFonts w:hint="eastAsia"/>
          <w:color w:val="000000" w:themeColor="text1"/>
          <w14:textFill>
            <w14:solidFill>
              <w14:schemeClr w14:val="tx1"/>
            </w14:solidFill>
          </w14:textFill>
        </w:rPr>
        <w:t>第四章 拟签订</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合同文本</w:t>
      </w:r>
      <w:bookmarkEnd w:id="66"/>
      <w:bookmarkEnd w:id="67"/>
    </w:p>
    <w:p>
      <w:pPr>
        <w:spacing w:line="580" w:lineRule="exact"/>
        <w:jc w:val="center"/>
        <w:rPr>
          <w:rFonts w:ascii="宋体" w:hAnsi="宋体" w:cs="仿宋"/>
          <w:b/>
          <w:color w:val="000000" w:themeColor="text1"/>
          <w:kern w:val="0"/>
          <w:sz w:val="28"/>
          <w:szCs w:val="24"/>
          <w14:textFill>
            <w14:solidFill>
              <w14:schemeClr w14:val="tx1"/>
            </w14:solidFill>
          </w14:textFill>
        </w:rPr>
      </w:pPr>
    </w:p>
    <w:p>
      <w:pPr>
        <w:spacing w:line="580" w:lineRule="exact"/>
        <w:jc w:val="center"/>
        <w:rPr>
          <w:rFonts w:ascii="宋体" w:hAnsi="宋体" w:cs="仿宋"/>
          <w:b/>
          <w:color w:val="000000" w:themeColor="text1"/>
          <w:kern w:val="0"/>
          <w:sz w:val="28"/>
          <w:szCs w:val="24"/>
          <w:u w:val="single"/>
          <w14:textFill>
            <w14:solidFill>
              <w14:schemeClr w14:val="tx1"/>
            </w14:solidFill>
          </w14:textFill>
        </w:rPr>
      </w:pPr>
      <w:r>
        <w:rPr>
          <w:rFonts w:hint="eastAsia" w:ascii="宋体" w:hAnsi="宋体" w:cs="仿宋"/>
          <w:b/>
          <w:color w:val="000000" w:themeColor="text1"/>
          <w:kern w:val="0"/>
          <w:sz w:val="28"/>
          <w:szCs w:val="24"/>
          <w:lang w:eastAsia="zh-CN"/>
          <w14:textFill>
            <w14:solidFill>
              <w14:schemeClr w14:val="tx1"/>
            </w14:solidFill>
          </w14:textFill>
        </w:rPr>
        <w:t>赣江新区人民医院</w:t>
      </w:r>
      <w:r>
        <w:rPr>
          <w:rFonts w:ascii="宋体" w:hAnsi="宋体" w:cs="仿宋"/>
          <w:b/>
          <w:color w:val="000000" w:themeColor="text1"/>
          <w:kern w:val="0"/>
          <w:sz w:val="28"/>
          <w:szCs w:val="24"/>
          <w:u w:val="single"/>
          <w14:textFill>
            <w14:solidFill>
              <w14:schemeClr w14:val="tx1"/>
            </w14:solidFill>
          </w14:textFill>
        </w:rPr>
        <w:t xml:space="preserve">                </w:t>
      </w:r>
      <w:r>
        <w:rPr>
          <w:rFonts w:hint="eastAsia" w:ascii="宋体" w:hAnsi="宋体" w:cs="仿宋"/>
          <w:b/>
          <w:color w:val="000000" w:themeColor="text1"/>
          <w:kern w:val="0"/>
          <w:sz w:val="28"/>
          <w:szCs w:val="24"/>
          <w14:textFill>
            <w14:solidFill>
              <w14:schemeClr w14:val="tx1"/>
            </w14:solidFill>
          </w14:textFill>
        </w:rPr>
        <w:t>合同</w:t>
      </w:r>
      <w:r>
        <w:rPr>
          <w:rFonts w:ascii="宋体" w:hAnsi="宋体" w:cs="仿宋"/>
          <w:b/>
          <w:color w:val="000000" w:themeColor="text1"/>
          <w:kern w:val="0"/>
          <w:sz w:val="28"/>
          <w:szCs w:val="24"/>
          <w14:textFill>
            <w14:solidFill>
              <w14:schemeClr w14:val="tx1"/>
            </w14:solidFill>
          </w14:textFill>
        </w:rPr>
        <w:t>（</w:t>
      </w:r>
      <w:r>
        <w:rPr>
          <w:rFonts w:hint="eastAsia" w:ascii="宋体" w:hAnsi="宋体" w:cs="仿宋"/>
          <w:b/>
          <w:color w:val="000000" w:themeColor="text1"/>
          <w:kern w:val="0"/>
          <w:sz w:val="28"/>
          <w:szCs w:val="24"/>
          <w14:textFill>
            <w14:solidFill>
              <w14:schemeClr w14:val="tx1"/>
            </w14:solidFill>
          </w14:textFill>
        </w:rPr>
        <w:t>协议</w:t>
      </w:r>
      <w:r>
        <w:rPr>
          <w:rFonts w:ascii="宋体" w:hAnsi="宋体" w:cs="仿宋"/>
          <w:b/>
          <w:color w:val="000000" w:themeColor="text1"/>
          <w:kern w:val="0"/>
          <w:sz w:val="28"/>
          <w:szCs w:val="24"/>
          <w14:textFill>
            <w14:solidFill>
              <w14:schemeClr w14:val="tx1"/>
            </w14:solidFill>
          </w14:textFill>
        </w:rPr>
        <w:t>）</w:t>
      </w:r>
    </w:p>
    <w:p>
      <w:pPr>
        <w:pStyle w:val="45"/>
        <w:spacing w:beforeLines="10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甲方（采购单位）：___</w:t>
      </w:r>
      <w:r>
        <w:rPr>
          <w:rFonts w:hint="eastAsia"/>
          <w:color w:val="000000" w:themeColor="text1"/>
          <w:u w:val="single"/>
          <w14:textFill>
            <w14:solidFill>
              <w14:schemeClr w14:val="tx1"/>
            </w14:solidFill>
          </w14:textFill>
        </w:rPr>
        <w:t>__</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__</w:t>
      </w:r>
      <w:r>
        <w:rPr>
          <w:rFonts w:hint="eastAsia"/>
          <w:color w:val="000000" w:themeColor="text1"/>
          <w14:textFill>
            <w14:solidFill>
              <w14:schemeClr w14:val="tx1"/>
            </w14:solidFill>
          </w14:textFill>
        </w:rPr>
        <w:t>_</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乙方（中标单位）：_______</w:t>
      </w:r>
      <w:r>
        <w:rPr>
          <w:rFonts w:hint="eastAsia"/>
          <w:color w:val="000000" w:themeColor="text1"/>
          <w:u w:val="single"/>
          <w14:textFill>
            <w14:solidFill>
              <w14:schemeClr w14:val="tx1"/>
            </w14:solidFill>
          </w14:textFill>
        </w:rPr>
        <w:t>_</w:t>
      </w:r>
      <w:r>
        <w:rPr>
          <w:color w:val="000000" w:themeColor="text1"/>
          <w:u w:val="single"/>
          <w14:textFill>
            <w14:solidFill>
              <w14:schemeClr w14:val="tx1"/>
            </w14:solidFill>
          </w14:textFill>
        </w:rPr>
        <w:t xml:space="preserve">             </w:t>
      </w:r>
    </w:p>
    <w:p>
      <w:pPr>
        <w:pStyle w:val="45"/>
        <w:spacing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民法典》及________年____月____日关于________项目的招标结果和招标文件的要求，经双方协商一致，签订本合同。详细价格、服务和技术说明、及其他有关合同标的的特定信息由合同附件予以说明，所有附件及本项目的招投标文件、会议纪要、协议等均为本合同不可分割之一部分。</w:t>
      </w:r>
    </w:p>
    <w:p>
      <w:pPr>
        <w:pStyle w:val="45"/>
        <w:spacing w:afterLines="50"/>
        <w:ind w:firstLine="48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一、中标</w:t>
      </w:r>
      <w:r>
        <w:rPr>
          <w:bCs/>
          <w:color w:val="000000" w:themeColor="text1"/>
          <w14:textFill>
            <w14:solidFill>
              <w14:schemeClr w14:val="tx1"/>
            </w14:solidFill>
          </w14:textFill>
        </w:rPr>
        <w:t>价格</w:t>
      </w:r>
    </w:p>
    <w:p>
      <w:pPr>
        <w:pStyle w:val="45"/>
        <w:spacing w:afterLines="50"/>
        <w:ind w:firstLine="48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二</w:t>
      </w:r>
      <w:r>
        <w:rPr>
          <w:bCs/>
          <w:color w:val="000000" w:themeColor="text1"/>
          <w14:textFill>
            <w14:solidFill>
              <w14:schemeClr w14:val="tx1"/>
            </w14:solidFill>
          </w14:textFill>
        </w:rPr>
        <w:t>、</w:t>
      </w:r>
      <w:r>
        <w:rPr>
          <w:rFonts w:hint="eastAsia"/>
          <w:bCs/>
          <w:color w:val="000000" w:themeColor="text1"/>
          <w14:textFill>
            <w14:solidFill>
              <w14:schemeClr w14:val="tx1"/>
            </w14:solidFill>
          </w14:textFill>
        </w:rPr>
        <w:t>服务期限和服务地点</w:t>
      </w:r>
    </w:p>
    <w:p>
      <w:pPr>
        <w:pStyle w:val="45"/>
        <w:spacing w:afterLines="50"/>
        <w:ind w:firstLine="480"/>
        <w:rPr>
          <w:color w:val="000000" w:themeColor="text1"/>
          <w14:textFill>
            <w14:solidFill>
              <w14:schemeClr w14:val="tx1"/>
            </w14:solidFill>
          </w14:textFill>
        </w:rPr>
      </w:pPr>
      <w:bookmarkStart w:id="68" w:name="_Toc286758353"/>
      <w:r>
        <w:rPr>
          <w:rFonts w:hint="eastAsia"/>
          <w:color w:val="000000" w:themeColor="text1"/>
          <w14:textFill>
            <w14:solidFill>
              <w14:schemeClr w14:val="tx1"/>
            </w14:solidFill>
          </w14:textFill>
        </w:rPr>
        <w:t>三、付款方式</w:t>
      </w:r>
      <w:bookmarkEnd w:id="68"/>
    </w:p>
    <w:p>
      <w:pPr>
        <w:pStyle w:val="45"/>
        <w:spacing w:afterLines="50"/>
        <w:ind w:firstLine="480"/>
        <w:rPr>
          <w:bCs/>
          <w:color w:val="000000" w:themeColor="text1"/>
          <w14:textFill>
            <w14:solidFill>
              <w14:schemeClr w14:val="tx1"/>
            </w14:solidFill>
          </w14:textFill>
        </w:rPr>
      </w:pPr>
      <w:bookmarkStart w:id="69" w:name="_Toc286758355"/>
      <w:r>
        <w:rPr>
          <w:rFonts w:hint="eastAsia"/>
          <w:bCs/>
          <w:color w:val="000000" w:themeColor="text1"/>
          <w14:textFill>
            <w14:solidFill>
              <w14:schemeClr w14:val="tx1"/>
            </w14:solidFill>
          </w14:textFill>
        </w:rPr>
        <w:t>四、质量保证</w:t>
      </w:r>
      <w:bookmarkEnd w:id="69"/>
      <w:r>
        <w:rPr>
          <w:rFonts w:hint="eastAsia"/>
          <w:bCs/>
          <w:color w:val="000000" w:themeColor="text1"/>
          <w14:textFill>
            <w14:solidFill>
              <w14:schemeClr w14:val="tx1"/>
            </w14:solidFill>
          </w14:textFill>
        </w:rPr>
        <w:t>期</w:t>
      </w:r>
    </w:p>
    <w:p>
      <w:pPr>
        <w:pStyle w:val="45"/>
        <w:spacing w:afterLines="50"/>
        <w:ind w:firstLine="480"/>
        <w:rPr>
          <w:bCs/>
          <w:color w:val="000000" w:themeColor="text1"/>
          <w14:textFill>
            <w14:solidFill>
              <w14:schemeClr w14:val="tx1"/>
            </w14:solidFill>
          </w14:textFill>
        </w:rPr>
      </w:pPr>
      <w:bookmarkStart w:id="70" w:name="_Toc286758359"/>
      <w:r>
        <w:rPr>
          <w:rFonts w:hint="eastAsia"/>
          <w:bCs/>
          <w:color w:val="000000" w:themeColor="text1"/>
          <w14:textFill>
            <w14:solidFill>
              <w14:schemeClr w14:val="tx1"/>
            </w14:solidFill>
          </w14:textFill>
        </w:rPr>
        <w:t>五、违约赔偿</w:t>
      </w:r>
      <w:bookmarkEnd w:id="70"/>
    </w:p>
    <w:p>
      <w:pPr>
        <w:pStyle w:val="45"/>
        <w:spacing w:afterLines="50"/>
        <w:ind w:firstLine="480"/>
        <w:rPr>
          <w:bCs/>
          <w:color w:val="000000" w:themeColor="text1"/>
          <w14:textFill>
            <w14:solidFill>
              <w14:schemeClr w14:val="tx1"/>
            </w14:solidFill>
          </w14:textFill>
        </w:rPr>
      </w:pPr>
      <w:bookmarkStart w:id="71" w:name="_Toc286758372"/>
      <w:r>
        <w:rPr>
          <w:rFonts w:hint="eastAsia"/>
          <w:bCs/>
          <w:color w:val="000000" w:themeColor="text1"/>
          <w14:textFill>
            <w14:solidFill>
              <w14:schemeClr w14:val="tx1"/>
            </w14:solidFill>
          </w14:textFill>
        </w:rPr>
        <w:t>六、其他</w:t>
      </w:r>
      <w:bookmarkEnd w:id="71"/>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spacing w:line="360" w:lineRule="auto"/>
        <w:rPr>
          <w:color w:val="000000" w:themeColor="text1"/>
          <w:szCs w:val="26"/>
          <w14:textFill>
            <w14:solidFill>
              <w14:schemeClr w14:val="tx1"/>
            </w14:solidFill>
          </w14:textFill>
        </w:rPr>
      </w:pPr>
      <w:r>
        <w:rPr>
          <w:rFonts w:hint="eastAsia"/>
          <w:color w:val="000000" w:themeColor="text1"/>
          <w:szCs w:val="26"/>
          <w14:textFill>
            <w14:solidFill>
              <w14:schemeClr w14:val="tx1"/>
            </w14:solidFill>
          </w14:textFill>
        </w:rPr>
        <w:t>甲方（公章</w:t>
      </w:r>
      <w:r>
        <w:rPr>
          <w:color w:val="000000" w:themeColor="text1"/>
          <w:szCs w:val="26"/>
          <w14:textFill>
            <w14:solidFill>
              <w14:schemeClr w14:val="tx1"/>
            </w14:solidFill>
          </w14:textFill>
        </w:rPr>
        <w:t>）</w:t>
      </w:r>
      <w:r>
        <w:rPr>
          <w:rFonts w:hint="eastAsia"/>
          <w:color w:val="000000" w:themeColor="text1"/>
          <w:szCs w:val="26"/>
          <w14:textFill>
            <w14:solidFill>
              <w14:schemeClr w14:val="tx1"/>
            </w14:solidFill>
          </w14:textFill>
        </w:rPr>
        <w:t xml:space="preserve">：                     </w:t>
      </w:r>
      <w:r>
        <w:rPr>
          <w:color w:val="000000" w:themeColor="text1"/>
          <w:szCs w:val="26"/>
          <w14:textFill>
            <w14:solidFill>
              <w14:schemeClr w14:val="tx1"/>
            </w14:solidFill>
          </w14:textFill>
        </w:rPr>
        <w:t xml:space="preserve"> </w:t>
      </w:r>
      <w:r>
        <w:rPr>
          <w:rFonts w:hint="eastAsia"/>
          <w:color w:val="000000" w:themeColor="text1"/>
          <w:szCs w:val="26"/>
          <w14:textFill>
            <w14:solidFill>
              <w14:schemeClr w14:val="tx1"/>
            </w14:solidFill>
          </w14:textFill>
        </w:rPr>
        <w:t xml:space="preserve"> </w:t>
      </w:r>
      <w:r>
        <w:rPr>
          <w:color w:val="000000" w:themeColor="text1"/>
          <w:szCs w:val="26"/>
          <w14:textFill>
            <w14:solidFill>
              <w14:schemeClr w14:val="tx1"/>
            </w14:solidFill>
          </w14:textFill>
        </w:rPr>
        <w:t xml:space="preserve"> </w:t>
      </w:r>
      <w:r>
        <w:rPr>
          <w:rFonts w:hint="eastAsia"/>
          <w:color w:val="000000" w:themeColor="text1"/>
          <w:szCs w:val="26"/>
          <w14:textFill>
            <w14:solidFill>
              <w14:schemeClr w14:val="tx1"/>
            </w14:solidFill>
          </w14:textFill>
        </w:rPr>
        <w:t>乙方（公章</w:t>
      </w:r>
      <w:r>
        <w:rPr>
          <w:color w:val="000000" w:themeColor="text1"/>
          <w:szCs w:val="26"/>
          <w14:textFill>
            <w14:solidFill>
              <w14:schemeClr w14:val="tx1"/>
            </w14:solidFill>
          </w14:textFill>
        </w:rPr>
        <w:t>）：</w:t>
      </w:r>
    </w:p>
    <w:p>
      <w:pPr>
        <w:spacing w:line="360" w:lineRule="auto"/>
        <w:rPr>
          <w:color w:val="000000" w:themeColor="text1"/>
          <w:szCs w:val="26"/>
          <w14:textFill>
            <w14:solidFill>
              <w14:schemeClr w14:val="tx1"/>
            </w14:solidFill>
          </w14:textFill>
        </w:rPr>
      </w:pPr>
      <w:r>
        <w:rPr>
          <w:rFonts w:hint="eastAsia"/>
          <w:color w:val="000000" w:themeColor="text1"/>
          <w:szCs w:val="26"/>
          <w14:textFill>
            <w14:solidFill>
              <w14:schemeClr w14:val="tx1"/>
            </w14:solidFill>
          </w14:textFill>
        </w:rPr>
        <w:t>代表</w:t>
      </w:r>
      <w:r>
        <w:rPr>
          <w:color w:val="000000" w:themeColor="text1"/>
          <w:szCs w:val="26"/>
          <w14:textFill>
            <w14:solidFill>
              <w14:schemeClr w14:val="tx1"/>
            </w14:solidFill>
          </w14:textFill>
        </w:rPr>
        <w:t>（</w:t>
      </w:r>
      <w:r>
        <w:rPr>
          <w:rFonts w:hint="eastAsia"/>
          <w:color w:val="000000" w:themeColor="text1"/>
          <w:szCs w:val="26"/>
          <w14:textFill>
            <w14:solidFill>
              <w14:schemeClr w14:val="tx1"/>
            </w14:solidFill>
          </w14:textFill>
        </w:rPr>
        <w:t>签字</w:t>
      </w:r>
      <w:r>
        <w:rPr>
          <w:color w:val="000000" w:themeColor="text1"/>
          <w:szCs w:val="26"/>
          <w14:textFill>
            <w14:solidFill>
              <w14:schemeClr w14:val="tx1"/>
            </w14:solidFill>
          </w14:textFill>
        </w:rPr>
        <w:t>）</w:t>
      </w:r>
      <w:r>
        <w:rPr>
          <w:rFonts w:hint="eastAsia"/>
          <w:color w:val="000000" w:themeColor="text1"/>
          <w:szCs w:val="26"/>
          <w14:textFill>
            <w14:solidFill>
              <w14:schemeClr w14:val="tx1"/>
            </w14:solidFill>
          </w14:textFill>
        </w:rPr>
        <w:t xml:space="preserve">： </w:t>
      </w:r>
      <w:r>
        <w:rPr>
          <w:color w:val="000000" w:themeColor="text1"/>
          <w:szCs w:val="26"/>
          <w14:textFill>
            <w14:solidFill>
              <w14:schemeClr w14:val="tx1"/>
            </w14:solidFill>
          </w14:textFill>
        </w:rPr>
        <w:t xml:space="preserve">                       </w:t>
      </w:r>
      <w:r>
        <w:rPr>
          <w:rFonts w:hint="eastAsia"/>
          <w:color w:val="000000" w:themeColor="text1"/>
          <w:szCs w:val="26"/>
          <w14:textFill>
            <w14:solidFill>
              <w14:schemeClr w14:val="tx1"/>
            </w14:solidFill>
          </w14:textFill>
        </w:rPr>
        <w:t>代表</w:t>
      </w:r>
      <w:r>
        <w:rPr>
          <w:color w:val="000000" w:themeColor="text1"/>
          <w:szCs w:val="26"/>
          <w14:textFill>
            <w14:solidFill>
              <w14:schemeClr w14:val="tx1"/>
            </w14:solidFill>
          </w14:textFill>
        </w:rPr>
        <w:t>（</w:t>
      </w:r>
      <w:r>
        <w:rPr>
          <w:rFonts w:hint="eastAsia"/>
          <w:color w:val="000000" w:themeColor="text1"/>
          <w:szCs w:val="26"/>
          <w14:textFill>
            <w14:solidFill>
              <w14:schemeClr w14:val="tx1"/>
            </w14:solidFill>
          </w14:textFill>
        </w:rPr>
        <w:t>签字</w:t>
      </w:r>
      <w:r>
        <w:rPr>
          <w:color w:val="000000" w:themeColor="text1"/>
          <w:szCs w:val="26"/>
          <w14:textFill>
            <w14:solidFill>
              <w14:schemeClr w14:val="tx1"/>
            </w14:solidFill>
          </w14:textFill>
        </w:rPr>
        <w:t>）</w:t>
      </w:r>
      <w:r>
        <w:rPr>
          <w:rFonts w:hint="eastAsia"/>
          <w:color w:val="000000" w:themeColor="text1"/>
          <w:szCs w:val="26"/>
          <w14:textFill>
            <w14:solidFill>
              <w14:schemeClr w14:val="tx1"/>
            </w14:solidFill>
          </w14:textFill>
        </w:rPr>
        <w:t>：</w:t>
      </w:r>
    </w:p>
    <w:p>
      <w:pPr>
        <w:spacing w:line="360" w:lineRule="auto"/>
        <w:ind w:firstLine="1560" w:firstLineChars="650"/>
        <w:rPr>
          <w:color w:val="000000" w:themeColor="text1"/>
          <w:szCs w:val="26"/>
          <w14:textFill>
            <w14:solidFill>
              <w14:schemeClr w14:val="tx1"/>
            </w14:solidFill>
          </w14:textFill>
        </w:rPr>
      </w:pPr>
      <w:r>
        <w:rPr>
          <w:rFonts w:hint="eastAsia"/>
          <w:color w:val="000000" w:themeColor="text1"/>
          <w:szCs w:val="26"/>
          <w14:textFill>
            <w14:solidFill>
              <w14:schemeClr w14:val="tx1"/>
            </w14:solidFill>
          </w14:textFill>
        </w:rPr>
        <w:t xml:space="preserve">年 </w:t>
      </w:r>
      <w:r>
        <w:rPr>
          <w:color w:val="000000" w:themeColor="text1"/>
          <w:szCs w:val="26"/>
          <w14:textFill>
            <w14:solidFill>
              <w14:schemeClr w14:val="tx1"/>
            </w14:solidFill>
          </w14:textFill>
        </w:rPr>
        <w:t xml:space="preserve">  </w:t>
      </w:r>
      <w:r>
        <w:rPr>
          <w:rFonts w:hint="eastAsia"/>
          <w:color w:val="000000" w:themeColor="text1"/>
          <w:szCs w:val="26"/>
          <w14:textFill>
            <w14:solidFill>
              <w14:schemeClr w14:val="tx1"/>
            </w14:solidFill>
          </w14:textFill>
        </w:rPr>
        <w:t>月</w:t>
      </w:r>
      <w:r>
        <w:rPr>
          <w:color w:val="000000" w:themeColor="text1"/>
          <w:szCs w:val="26"/>
          <w14:textFill>
            <w14:solidFill>
              <w14:schemeClr w14:val="tx1"/>
            </w14:solidFill>
          </w14:textFill>
        </w:rPr>
        <w:t xml:space="preserve">  </w:t>
      </w:r>
      <w:r>
        <w:rPr>
          <w:rFonts w:hint="eastAsia"/>
          <w:color w:val="000000" w:themeColor="text1"/>
          <w:szCs w:val="26"/>
          <w14:textFill>
            <w14:solidFill>
              <w14:schemeClr w14:val="tx1"/>
            </w14:solidFill>
          </w14:textFill>
        </w:rPr>
        <w:t xml:space="preserve"> 日                  </w:t>
      </w:r>
      <w:r>
        <w:rPr>
          <w:color w:val="000000" w:themeColor="text1"/>
          <w:szCs w:val="26"/>
          <w14:textFill>
            <w14:solidFill>
              <w14:schemeClr w14:val="tx1"/>
            </w14:solidFill>
          </w14:textFill>
        </w:rPr>
        <w:t xml:space="preserve">   </w:t>
      </w:r>
      <w:r>
        <w:rPr>
          <w:rFonts w:hint="eastAsia"/>
          <w:color w:val="000000" w:themeColor="text1"/>
          <w:szCs w:val="26"/>
          <w14:textFill>
            <w14:solidFill>
              <w14:schemeClr w14:val="tx1"/>
            </w14:solidFill>
          </w14:textFill>
        </w:rPr>
        <w:t xml:space="preserve"> </w:t>
      </w:r>
      <w:r>
        <w:rPr>
          <w:color w:val="000000" w:themeColor="text1"/>
          <w:szCs w:val="26"/>
          <w14:textFill>
            <w14:solidFill>
              <w14:schemeClr w14:val="tx1"/>
            </w14:solidFill>
          </w14:textFill>
        </w:rPr>
        <w:t xml:space="preserve">   </w:t>
      </w:r>
      <w:r>
        <w:rPr>
          <w:rFonts w:hint="eastAsia"/>
          <w:color w:val="000000" w:themeColor="text1"/>
          <w:szCs w:val="26"/>
          <w14:textFill>
            <w14:solidFill>
              <w14:schemeClr w14:val="tx1"/>
            </w14:solidFill>
          </w14:textFill>
        </w:rPr>
        <w:t xml:space="preserve">年 </w:t>
      </w:r>
      <w:r>
        <w:rPr>
          <w:color w:val="000000" w:themeColor="text1"/>
          <w:szCs w:val="26"/>
          <w14:textFill>
            <w14:solidFill>
              <w14:schemeClr w14:val="tx1"/>
            </w14:solidFill>
          </w14:textFill>
        </w:rPr>
        <w:t xml:space="preserve"> </w:t>
      </w:r>
      <w:r>
        <w:rPr>
          <w:rFonts w:hint="eastAsia"/>
          <w:color w:val="000000" w:themeColor="text1"/>
          <w:szCs w:val="26"/>
          <w14:textFill>
            <w14:solidFill>
              <w14:schemeClr w14:val="tx1"/>
            </w14:solidFill>
          </w14:textFill>
        </w:rPr>
        <w:t xml:space="preserve"> 月  </w:t>
      </w:r>
      <w:r>
        <w:rPr>
          <w:color w:val="000000" w:themeColor="text1"/>
          <w:szCs w:val="26"/>
          <w14:textFill>
            <w14:solidFill>
              <w14:schemeClr w14:val="tx1"/>
            </w14:solidFill>
          </w14:textFill>
        </w:rPr>
        <w:t xml:space="preserve"> </w:t>
      </w:r>
      <w:r>
        <w:rPr>
          <w:rFonts w:hint="eastAsia"/>
          <w:color w:val="000000" w:themeColor="text1"/>
          <w:szCs w:val="26"/>
          <w14:textFill>
            <w14:solidFill>
              <w14:schemeClr w14:val="tx1"/>
            </w14:solidFill>
          </w14:textFill>
        </w:rPr>
        <w:t>日</w:t>
      </w: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sectPr>
          <w:pgSz w:w="11907" w:h="16840"/>
          <w:pgMar w:top="1418" w:right="1418" w:bottom="1418" w:left="1814" w:header="1134" w:footer="851" w:gutter="0"/>
          <w:pgNumType w:fmt="numberInDash"/>
          <w:cols w:space="425" w:num="1"/>
          <w:titlePg/>
          <w:docGrid w:type="linesAndChars" w:linePitch="312" w:charSpace="0"/>
        </w:sectPr>
      </w:pPr>
    </w:p>
    <w:p>
      <w:pPr>
        <w:pStyle w:val="53"/>
        <w:spacing w:before="0"/>
        <w:rPr>
          <w:rFonts w:asciiTheme="minorEastAsia" w:hAnsiTheme="minorEastAsia" w:eastAsiaTheme="minorEastAsia" w:cstheme="minorEastAsia"/>
          <w:sz w:val="28"/>
          <w:szCs w:val="28"/>
        </w:rPr>
      </w:pPr>
      <w:bookmarkStart w:id="72" w:name="_Toc42160949"/>
      <w:bookmarkStart w:id="73" w:name="_Toc4263593"/>
      <w:r>
        <w:rPr>
          <w:color w:val="000000" w:themeColor="text1"/>
          <w:sz w:val="32"/>
          <w14:textFill>
            <w14:solidFill>
              <w14:schemeClr w14:val="tx1"/>
            </w14:solidFill>
          </w14:textFill>
        </w:rPr>
        <w:t>第五章</w:t>
      </w:r>
      <w:r>
        <w:rPr>
          <w:rFonts w:hint="eastAsia"/>
          <w:color w:val="000000" w:themeColor="text1"/>
          <w:sz w:val="32"/>
          <w14:textFill>
            <w14:solidFill>
              <w14:schemeClr w14:val="tx1"/>
            </w14:solidFill>
          </w14:textFill>
        </w:rPr>
        <w:t xml:space="preserve"> 采购需求</w:t>
      </w:r>
      <w:bookmarkEnd w:id="72"/>
      <w:bookmarkEnd w:id="73"/>
      <w:bookmarkStart w:id="74" w:name="_Toc25240925"/>
      <w:bookmarkStart w:id="75" w:name="_Toc459659313"/>
      <w:bookmarkStart w:id="76" w:name="_Toc524607994"/>
      <w:bookmarkStart w:id="77" w:name="_Toc524608370"/>
      <w:bookmarkStart w:id="78" w:name="_Toc523786019"/>
      <w:bookmarkStart w:id="79" w:name="_Toc524607765"/>
      <w:bookmarkStart w:id="80" w:name="_Toc524608713"/>
    </w:p>
    <w:p>
      <w:pPr>
        <w:tabs>
          <w:tab w:val="left" w:pos="425"/>
        </w:tabs>
        <w:spacing w:beforeLines="50" w:afterLines="50"/>
        <w:ind w:right="120" w:rightChars="50"/>
        <w:rPr>
          <w:rFonts w:ascii="宋体" w:hAnsi="宋体" w:cs="Arial"/>
          <w:bCs/>
        </w:rPr>
      </w:pPr>
      <w:r>
        <w:rPr>
          <w:rFonts w:hint="eastAsia" w:ascii="宋体" w:hAnsi="宋体" w:cs="Arial"/>
          <w:bCs/>
        </w:rPr>
        <w:t>（一）技术需求</w:t>
      </w:r>
    </w:p>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一、</w:t>
      </w:r>
      <w:r>
        <w:rPr>
          <w:rFonts w:hint="eastAsia" w:ascii="宋体" w:hAnsi="宋体" w:eastAsia="宋体" w:cs="宋体"/>
          <w:sz w:val="24"/>
          <w:szCs w:val="24"/>
        </w:rPr>
        <w:t>采购需求表</w:t>
      </w:r>
    </w:p>
    <w:tbl>
      <w:tblPr>
        <w:tblStyle w:val="29"/>
        <w:tblpPr w:leftFromText="180" w:rightFromText="180" w:vertAnchor="text" w:tblpXSpec="center" w:tblpY="1"/>
        <w:tblOverlap w:val="never"/>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2820" w:type="dxa"/>
            <w:tcBorders>
              <w:top w:val="single" w:color="auto" w:sz="12" w:space="0"/>
              <w:left w:val="single" w:color="auto" w:sz="12" w:space="0"/>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10795</wp:posOffset>
                      </wp:positionV>
                      <wp:extent cx="1781175" cy="1479550"/>
                      <wp:effectExtent l="3175" t="3810" r="6350" b="21590"/>
                      <wp:wrapNone/>
                      <wp:docPr id="214" name="组合 214"/>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15" name="__TH_L88"/>
                              <wps:cNvCnPr>
                                <a:cxnSpLocks noChangeShapeType="1"/>
                              </wps:cNvCnPr>
                              <wps:spPr bwMode="auto">
                                <a:xfrm>
                                  <a:off x="1716" y="3057"/>
                                  <a:ext cx="2805" cy="2330"/>
                                </a:xfrm>
                                <a:prstGeom prst="line">
                                  <a:avLst/>
                                </a:prstGeom>
                                <a:noFill/>
                                <a:ln w="6350">
                                  <a:solidFill>
                                    <a:srgbClr val="000000"/>
                                  </a:solidFill>
                                  <a:round/>
                                </a:ln>
                                <a:effectLst/>
                              </wps:spPr>
                              <wps:bodyPr/>
                            </wps:wsp>
                            <wps:wsp>
                              <wps:cNvPr id="216" name="__TH_B1189"/>
                              <wps:cNvSpPr txBox="1">
                                <a:spLocks noChangeArrowheads="1"/>
                              </wps:cNvSpPr>
                              <wps:spPr bwMode="auto">
                                <a:xfrm>
                                  <a:off x="2769" y="3199"/>
                                  <a:ext cx="300" cy="300"/>
                                </a:xfrm>
                                <a:prstGeom prst="rect">
                                  <a:avLst/>
                                </a:prstGeom>
                                <a:noFill/>
                                <a:ln>
                                  <a:noFill/>
                                </a:ln>
                                <a:effectLst/>
                              </wps:spPr>
                              <wps:txbx>
                                <w:txbxContent>
                                  <w:p>
                                    <w:pPr>
                                      <w:snapToGrid w:val="0"/>
                                    </w:pPr>
                                    <w:r>
                                      <w:rPr>
                                        <w:rFonts w:hint="eastAsia"/>
                                      </w:rPr>
                                      <w:t>采</w:t>
                                    </w:r>
                                  </w:p>
                                </w:txbxContent>
                              </wps:txbx>
                              <wps:bodyPr rot="0" vert="horz" wrap="square" lIns="0" tIns="0" rIns="0" bIns="0" anchor="t" anchorCtr="0" upright="1">
                                <a:noAutofit/>
                              </wps:bodyPr>
                            </wps:wsp>
                            <wps:wsp>
                              <wps:cNvPr id="218" name="__TH_B1290"/>
                              <wps:cNvSpPr txBox="1">
                                <a:spLocks noChangeArrowheads="1"/>
                              </wps:cNvSpPr>
                              <wps:spPr bwMode="auto">
                                <a:xfrm>
                                  <a:off x="3184" y="3544"/>
                                  <a:ext cx="300" cy="300"/>
                                </a:xfrm>
                                <a:prstGeom prst="rect">
                                  <a:avLst/>
                                </a:prstGeom>
                                <a:noFill/>
                                <a:ln>
                                  <a:noFill/>
                                </a:ln>
                                <a:effectLst/>
                              </wps:spPr>
                              <wps:txbx>
                                <w:txbxContent>
                                  <w:p>
                                    <w:pPr>
                                      <w:snapToGrid w:val="0"/>
                                    </w:pPr>
                                    <w:r>
                                      <w:rPr>
                                        <w:rFonts w:hint="eastAsia"/>
                                      </w:rPr>
                                      <w:t>购</w:t>
                                    </w:r>
                                  </w:p>
                                </w:txbxContent>
                              </wps:txbx>
                              <wps:bodyPr rot="0" vert="horz" wrap="square" lIns="0" tIns="0" rIns="0" bIns="0" anchor="t" anchorCtr="0" upright="1">
                                <a:noAutofit/>
                              </wps:bodyPr>
                            </wps:wsp>
                            <wps:wsp>
                              <wps:cNvPr id="219" name="__TH_B1391"/>
                              <wps:cNvSpPr txBox="1">
                                <a:spLocks noChangeArrowheads="1"/>
                              </wps:cNvSpPr>
                              <wps:spPr bwMode="auto">
                                <a:xfrm>
                                  <a:off x="3599" y="3888"/>
                                  <a:ext cx="300" cy="300"/>
                                </a:xfrm>
                                <a:prstGeom prst="rect">
                                  <a:avLst/>
                                </a:prstGeom>
                                <a:noFill/>
                                <a:ln>
                                  <a:noFill/>
                                </a:ln>
                                <a:effectLst/>
                              </wps:spPr>
                              <wps:txbx>
                                <w:txbxContent>
                                  <w:p>
                                    <w:pPr>
                                      <w:snapToGrid w:val="0"/>
                                    </w:pPr>
                                    <w:r>
                                      <w:rPr>
                                        <w:rFonts w:hint="eastAsia"/>
                                      </w:rPr>
                                      <w:t>名</w:t>
                                    </w:r>
                                  </w:p>
                                </w:txbxContent>
                              </wps:txbx>
                              <wps:bodyPr rot="0" vert="horz" wrap="square" lIns="0" tIns="0" rIns="0" bIns="0" anchor="t" anchorCtr="0" upright="1">
                                <a:noAutofit/>
                              </wps:bodyPr>
                            </wps:wsp>
                            <wps:wsp>
                              <wps:cNvPr id="220" name="__TH_B1492"/>
                              <wps:cNvSpPr txBox="1">
                                <a:spLocks noChangeArrowheads="1"/>
                              </wps:cNvSpPr>
                              <wps:spPr bwMode="auto">
                                <a:xfrm>
                                  <a:off x="4014" y="4233"/>
                                  <a:ext cx="300" cy="300"/>
                                </a:xfrm>
                                <a:prstGeom prst="rect">
                                  <a:avLst/>
                                </a:prstGeom>
                                <a:noFill/>
                                <a:ln>
                                  <a:noFill/>
                                </a:ln>
                                <a:effectLst/>
                              </wps:spPr>
                              <wps:txbx>
                                <w:txbxContent>
                                  <w:p>
                                    <w:pPr>
                                      <w:snapToGrid w:val="0"/>
                                    </w:pPr>
                                    <w:r>
                                      <w:rPr>
                                        <w:rFonts w:hint="eastAsia"/>
                                      </w:rPr>
                                      <w:t>称</w:t>
                                    </w:r>
                                  </w:p>
                                </w:txbxContent>
                              </wps:txbx>
                              <wps:bodyPr rot="0" vert="horz" wrap="square" lIns="0" tIns="0" rIns="0" bIns="0" anchor="t" anchorCtr="0" upright="1">
                                <a:noAutofit/>
                              </wps:bodyPr>
                            </wps:wsp>
                            <wps:wsp>
                              <wps:cNvPr id="221" name="__TH_B2193"/>
                              <wps:cNvSpPr txBox="1">
                                <a:spLocks noChangeArrowheads="1"/>
                              </wps:cNvSpPr>
                              <wps:spPr bwMode="auto">
                                <a:xfrm>
                                  <a:off x="2140" y="4061"/>
                                  <a:ext cx="300" cy="300"/>
                                </a:xfrm>
                                <a:prstGeom prst="rect">
                                  <a:avLst/>
                                </a:prstGeom>
                                <a:noFill/>
                                <a:ln>
                                  <a:noFill/>
                                </a:ln>
                                <a:effectLst/>
                              </wps:spPr>
                              <wps:txbx>
                                <w:txbxContent>
                                  <w:p>
                                    <w:pPr>
                                      <w:snapToGrid w:val="0"/>
                                    </w:pPr>
                                    <w:r>
                                      <w:rPr>
                                        <w:rFonts w:hint="eastAsia"/>
                                      </w:rPr>
                                      <w:t>内</w:t>
                                    </w:r>
                                  </w:p>
                                </w:txbxContent>
                              </wps:txbx>
                              <wps:bodyPr rot="0" vert="horz" wrap="square" lIns="0" tIns="0" rIns="0" bIns="0" anchor="t" anchorCtr="0" upright="1">
                                <a:noAutofit/>
                              </wps:bodyPr>
                            </wps:wsp>
                            <wps:wsp>
                              <wps:cNvPr id="222" name="__TH_B2294"/>
                              <wps:cNvSpPr txBox="1">
                                <a:spLocks noChangeArrowheads="1"/>
                              </wps:cNvSpPr>
                              <wps:spPr bwMode="auto">
                                <a:xfrm>
                                  <a:off x="2987" y="4765"/>
                                  <a:ext cx="300" cy="300"/>
                                </a:xfrm>
                                <a:prstGeom prst="rect">
                                  <a:avLst/>
                                </a:prstGeom>
                                <a:noFill/>
                                <a:ln>
                                  <a:noFill/>
                                </a:ln>
                                <a:effectLst/>
                              </wps:spPr>
                              <wps:txbx>
                                <w:txbxContent>
                                  <w:p>
                                    <w:pPr>
                                      <w:snapToGrid w:val="0"/>
                                    </w:pPr>
                                    <w:r>
                                      <w:rPr>
                                        <w:rFonts w:hint="eastAsia"/>
                                      </w:rPr>
                                      <w:t>容</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65pt;margin-top:0.85pt;height:116.5pt;width:140.25pt;z-index:251659264;mso-width-relative:page;mso-height-relative:page;" coordorigin="1716,3057" coordsize="2805,2330" o:gfxdata="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AAAA&#10;AGRycy9QSwECFAAUAAAACACHTuJAnO+2xNkAAAAIAQAADwAAAAAAAAABACAAAAAiAAAAZHJzL2Rv&#10;d25yZXYueG1sUEsBAhQAFAAAAAgAh07iQOU7B6GPAwAAOBIAAA4AAAAAAAAAAQAgAAAAKAEAAGRy&#10;cy9lMm9Eb2MueG1sUEsFBgAAAAAGAAYAWQEAACkHAAAAAA==&#10;">
                      <o:lock v:ext="edit" aspectratio="f"/>
                      <v:line id="__TH_L88" o:spid="_x0000_s1026" o:spt="20" style="position:absolute;left:1716;top:3057;height:2330;width:2805;" filled="f" stroked="t" coordsize="21600,21600" o:gfxdata="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4tF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GdmcLL4AAADc&#10;AAAADwAAAGRycy9kb3ducmV2LnhtbEWPzWrDMBCE74W8g9hAb43kHEzqRgmlpFAIlDjuocettbFF&#10;rJVjKX9vHwUCPQ4z8w0zX15cJ040BOtZQzZRIIhrbyw3Gn6qz5cZiBCRDXaeScOVAiwXo6c5Fsaf&#10;uaTTNjYiQTgUqKGNsS+kDHVLDsPE98TJ2/nBYUxyaKQZ8JzgrpNTpXLp0HJaaLGnj5bq/fboNLz/&#10;crmyh++/TbkrbVW9Kl7ne62fx5l6AxHpEv/Dj/aX0TDNcr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mcL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采</w:t>
                              </w:r>
                            </w:p>
                          </w:txbxContent>
                        </v:textbox>
                      </v:shape>
                      <v:shape id="__TH_B1290" o:spid="_x0000_s1026" o:spt="202" type="#_x0000_t202" style="position:absolute;left:3184;top:3544;height:300;width:300;" filled="f" stroked="f" coordsize="21600,21600" o:gfxdata="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Krc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购</w:t>
                              </w:r>
                            </w:p>
                          </w:txbxContent>
                        </v:textbox>
                      </v:shape>
                      <v:shape id="__TH_B1391" o:spid="_x0000_s1026" o:spt="202" type="#_x0000_t202" style="position:absolute;left:3599;top:3888;height:300;width:300;" filled="f" stroked="f" coordsize="21600,21600" o:gfxdata="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YIX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名</w:t>
                              </w:r>
                            </w:p>
                          </w:txbxContent>
                        </v:textbox>
                      </v:shape>
                      <v:shape id="__TH_B1492" o:spid="_x0000_s1026" o:spt="202" type="#_x0000_t202" style="position:absolute;left:4014;top:4233;height:300;width:300;" filled="f" stroked="f" coordsize="21600,21600" o:gfxdata="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Brf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称</w:t>
                              </w:r>
                            </w:p>
                          </w:txbxContent>
                        </v:textbox>
                      </v:shape>
                      <v:shape id="__TH_B2193" o:spid="_x0000_s1026" o:spt="202" type="#_x0000_t202" style="position:absolute;left:2140;top:4061;height:300;width:300;" filled="f" stroked="f" coordsize="21600,21600" o:gfxdata="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czu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内</w:t>
                              </w:r>
                            </w:p>
                          </w:txbxContent>
                        </v:textbox>
                      </v:shape>
                      <v:shape id="__TH_B2294" o:spid="_x0000_s1026" o:spt="202" type="#_x0000_t202" style="position:absolute;left:2987;top:4765;height:300;width:300;" filled="f" stroked="f" coordsize="21600,21600" o:gfxdata="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OUJ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容</w:t>
                              </w:r>
                            </w:p>
                          </w:txbxContent>
                        </v:textbox>
                      </v:shape>
                    </v:group>
                  </w:pict>
                </mc:Fallback>
              </mc:AlternateContent>
            </w:r>
          </w:p>
        </w:tc>
        <w:tc>
          <w:tcPr>
            <w:tcW w:w="5825" w:type="dxa"/>
            <w:tcBorders>
              <w:top w:val="single" w:color="auto" w:sz="12" w:space="0"/>
              <w:right w:val="single" w:color="auto" w:sz="12" w:space="0"/>
            </w:tcBorders>
            <w:vAlign w:val="center"/>
          </w:tcPr>
          <w:p>
            <w:pPr>
              <w:spacing w:line="360" w:lineRule="auto"/>
              <w:jc w:val="center"/>
              <w:rPr>
                <w:rFonts w:hint="eastAsia" w:ascii="宋体" w:hAnsi="宋体" w:eastAsia="宋体" w:cs="宋体"/>
                <w:sz w:val="24"/>
                <w:szCs w:val="24"/>
              </w:rPr>
            </w:pPr>
            <w:r>
              <w:rPr>
                <w:rFonts w:hint="eastAsia"/>
                <w:b w:val="0"/>
                <w:sz w:val="24"/>
                <w:szCs w:val="28"/>
                <w:lang w:eastAsia="zh-CN"/>
              </w:rPr>
              <w:t>赣江新区人民医院</w:t>
            </w:r>
            <w:r>
              <w:rPr>
                <w:rFonts w:hint="eastAsia"/>
                <w:b w:val="0"/>
                <w:sz w:val="24"/>
                <w:szCs w:val="28"/>
                <w:lang w:val="en-US" w:eastAsia="zh-CN"/>
              </w:rPr>
              <w:t>手腕带供应服务</w:t>
            </w:r>
            <w:r>
              <w:rPr>
                <w:rFonts w:hint="eastAsia"/>
                <w:b w:val="0"/>
                <w:sz w:val="24"/>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820" w:type="dxa"/>
            <w:tcBorders>
              <w:left w:val="single" w:color="auto" w:sz="12"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5825" w:type="dxa"/>
            <w:tcBorders>
              <w:right w:val="single" w:color="auto" w:sz="12"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820" w:type="dxa"/>
            <w:tcBorders>
              <w:left w:val="single" w:color="auto" w:sz="12" w:space="0"/>
            </w:tcBorders>
            <w:vAlign w:val="center"/>
          </w:tcPr>
          <w:p>
            <w:pPr>
              <w:spacing w:line="360" w:lineRule="auto"/>
              <w:jc w:val="center"/>
              <w:rPr>
                <w:rFonts w:hint="default" w:ascii="宋体" w:hAnsi="宋体" w:eastAsia="宋体" w:cs="宋体"/>
                <w:sz w:val="24"/>
                <w:szCs w:val="24"/>
                <w:lang w:val="en-US"/>
              </w:rPr>
            </w:pPr>
            <w:r>
              <w:rPr>
                <w:rFonts w:hint="eastAsia" w:ascii="宋体" w:hAnsi="宋体" w:cs="宋体"/>
                <w:sz w:val="24"/>
                <w:szCs w:val="24"/>
                <w:lang w:val="en-US" w:eastAsia="zh-CN"/>
              </w:rPr>
              <w:t>服务期限</w:t>
            </w:r>
          </w:p>
        </w:tc>
        <w:tc>
          <w:tcPr>
            <w:tcW w:w="5825" w:type="dxa"/>
            <w:tcBorders>
              <w:right w:val="single" w:color="auto" w:sz="12" w:space="0"/>
            </w:tcBorders>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highlight w:val="yellow"/>
                <w:lang w:val="en-US" w:eastAsia="zh-CN"/>
              </w:rPr>
              <w:t>两年，一年一签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820" w:type="dxa"/>
            <w:tcBorders>
              <w:left w:val="single" w:color="auto" w:sz="12" w:space="0"/>
            </w:tcBorders>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服务</w:t>
            </w:r>
            <w:r>
              <w:rPr>
                <w:rFonts w:hint="eastAsia" w:ascii="宋体" w:hAnsi="宋体" w:eastAsia="宋体" w:cs="宋体"/>
                <w:sz w:val="24"/>
                <w:szCs w:val="24"/>
                <w:lang w:eastAsia="zh-CN"/>
              </w:rPr>
              <w:t>地点</w:t>
            </w:r>
          </w:p>
        </w:tc>
        <w:tc>
          <w:tcPr>
            <w:tcW w:w="5825" w:type="dxa"/>
            <w:tcBorders>
              <w:right w:val="single" w:color="auto" w:sz="12" w:space="0"/>
            </w:tcBorders>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赣江新区人民医院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6" w:hRule="atLeast"/>
          <w:jc w:val="center"/>
        </w:trPr>
        <w:tc>
          <w:tcPr>
            <w:tcW w:w="2820" w:type="dxa"/>
            <w:tcBorders>
              <w:left w:val="single" w:color="auto" w:sz="12"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备注</w:t>
            </w:r>
          </w:p>
        </w:tc>
        <w:tc>
          <w:tcPr>
            <w:tcW w:w="5825" w:type="dxa"/>
            <w:tcBorders>
              <w:right w:val="single" w:color="auto" w:sz="12" w:space="0"/>
            </w:tcBorders>
            <w:vAlign w:val="center"/>
          </w:tcPr>
          <w:p>
            <w:pPr>
              <w:tabs>
                <w:tab w:val="left" w:pos="0"/>
                <w:tab w:val="left" w:pos="1140"/>
              </w:tabs>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投标报价应包含人员工资福利、机械设备及耗材费、运输费、缴纳各项保险费、国家法定假日加班费、劳保用品费、附件费（碳带、腕带扣、标示贴以及全新条码打印机设备等实际使用需要的所有配件）</w:t>
            </w:r>
            <w:r>
              <w:rPr>
                <w:rFonts w:hint="eastAsia" w:asciiTheme="minorEastAsia" w:hAnsiTheme="minorEastAsia"/>
                <w:sz w:val="24"/>
                <w:szCs w:val="24"/>
                <w:lang w:eastAsia="zh-CN"/>
              </w:rPr>
              <w:t>、</w:t>
            </w:r>
            <w:r>
              <w:rPr>
                <w:rFonts w:hint="eastAsia" w:asciiTheme="minorEastAsia" w:hAnsiTheme="minorEastAsia"/>
                <w:sz w:val="24"/>
                <w:szCs w:val="24"/>
              </w:rPr>
              <w:t>办公设备及办公费、管理费、售后服务、利润、质保期内维修材料、税金等一切与完成本项目服务要求所需的全部费用。且合同期内单价不做调整。</w:t>
            </w: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cs="宋体"/>
          <w:sz w:val="24"/>
          <w:szCs w:val="24"/>
          <w:lang w:eastAsia="zh-CN"/>
        </w:rPr>
        <w:t>二、</w:t>
      </w:r>
      <w:r>
        <w:rPr>
          <w:rFonts w:hint="eastAsia" w:ascii="宋体" w:hAnsi="宋体" w:eastAsia="宋体" w:cs="宋体"/>
          <w:sz w:val="24"/>
          <w:szCs w:val="24"/>
        </w:rPr>
        <w:t>采购要求</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1、基本要求</w:t>
      </w:r>
    </w:p>
    <w:p>
      <w:pPr>
        <w:spacing w:line="360" w:lineRule="auto"/>
        <w:ind w:left="480" w:hanging="480" w:hangingChars="200"/>
        <w:rPr>
          <w:rFonts w:hint="eastAsia" w:ascii="宋体" w:hAnsi="宋体" w:eastAsia="宋体" w:cs="宋体"/>
          <w:sz w:val="24"/>
          <w:szCs w:val="24"/>
          <w:highlight w:val="none"/>
        </w:rPr>
      </w:pPr>
      <w:r>
        <w:rPr>
          <w:rFonts w:hint="eastAsia" w:ascii="宋体" w:hAnsi="宋体" w:eastAsia="宋体" w:cs="宋体"/>
          <w:sz w:val="24"/>
          <w:szCs w:val="24"/>
          <w:highlight w:val="none"/>
        </w:rPr>
        <w:t>1.1投标人在满足招标人基本技术要求的情况下</w:t>
      </w:r>
      <w:r>
        <w:rPr>
          <w:rFonts w:hint="eastAsia" w:ascii="宋体" w:hAnsi="宋体" w:eastAsia="宋体" w:cs="宋体"/>
          <w:sz w:val="24"/>
          <w:szCs w:val="24"/>
          <w:highlight w:val="none"/>
          <w:lang w:val="en-US" w:eastAsia="zh-CN"/>
        </w:rPr>
        <w:t>各类产品</w:t>
      </w:r>
      <w:r>
        <w:rPr>
          <w:rFonts w:hint="eastAsia" w:ascii="宋体" w:hAnsi="宋体" w:eastAsia="宋体" w:cs="宋体"/>
          <w:sz w:val="24"/>
          <w:szCs w:val="24"/>
          <w:highlight w:val="yellow"/>
        </w:rPr>
        <w:t>只能使用一种产品竞标；投标人须按单价报价，按清单项目列好报价清单</w:t>
      </w:r>
      <w:r>
        <w:rPr>
          <w:rFonts w:hint="eastAsia" w:ascii="宋体" w:hAnsi="宋体" w:cs="宋体"/>
          <w:b/>
          <w:bCs/>
          <w:sz w:val="24"/>
          <w:szCs w:val="24"/>
          <w:highlight w:val="yellow"/>
          <w:u w:val="single"/>
          <w:lang w:eastAsia="zh-CN"/>
        </w:rPr>
        <w:t>（</w:t>
      </w:r>
      <w:r>
        <w:rPr>
          <w:rFonts w:hint="eastAsia" w:ascii="宋体" w:hAnsi="宋体" w:cs="宋体"/>
          <w:b/>
          <w:bCs/>
          <w:sz w:val="24"/>
          <w:szCs w:val="24"/>
          <w:highlight w:val="yellow"/>
          <w:u w:val="single"/>
          <w:lang w:val="en-US" w:eastAsia="zh-CN"/>
        </w:rPr>
        <w:t>不得高于清单综合单价，报价保留两位小数</w:t>
      </w:r>
      <w:r>
        <w:rPr>
          <w:rFonts w:hint="eastAsia" w:ascii="宋体" w:hAnsi="宋体" w:cs="宋体"/>
          <w:b/>
          <w:bCs/>
          <w:sz w:val="24"/>
          <w:szCs w:val="24"/>
          <w:highlight w:val="yellow"/>
          <w:u w:val="single"/>
          <w:lang w:eastAsia="zh-CN"/>
        </w:rPr>
        <w:t>）</w:t>
      </w:r>
      <w:r>
        <w:rPr>
          <w:rFonts w:hint="eastAsia" w:ascii="宋体" w:hAnsi="宋体" w:eastAsia="宋体" w:cs="宋体"/>
          <w:sz w:val="24"/>
          <w:szCs w:val="24"/>
          <w:highlight w:val="yellow"/>
        </w:rPr>
        <w:t>，计算总价；</w:t>
      </w:r>
      <w:r>
        <w:rPr>
          <w:rFonts w:hint="eastAsia" w:ascii="宋体" w:hAnsi="宋体" w:eastAsia="宋体" w:cs="宋体"/>
          <w:b/>
          <w:color w:val="000000" w:themeColor="text1"/>
          <w:sz w:val="24"/>
          <w:szCs w:val="24"/>
          <w:highlight w:val="none"/>
          <w:u w:val="single"/>
          <w14:textFill>
            <w14:solidFill>
              <w14:schemeClr w14:val="tx1"/>
            </w14:solidFill>
          </w14:textFill>
        </w:rPr>
        <w:t>合同期内中标单价不因任何因素改变。</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1.2投标人须按单价报价，列好报价清单；</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1.3承诺可及时、保质、保量按</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要求分批供货；</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1.4最终总金额按实际采购数量分批次结算；</w:t>
      </w:r>
    </w:p>
    <w:p>
      <w:pPr>
        <w:spacing w:line="360" w:lineRule="auto"/>
        <w:ind w:left="360" w:hanging="360" w:hangingChars="150"/>
        <w:rPr>
          <w:rFonts w:hint="eastAsia" w:ascii="宋体" w:hAnsi="宋体" w:eastAsia="宋体" w:cs="宋体"/>
          <w:sz w:val="24"/>
          <w:szCs w:val="24"/>
        </w:rPr>
      </w:pPr>
    </w:p>
    <w:p>
      <w:pPr>
        <w:spacing w:line="360" w:lineRule="auto"/>
        <w:ind w:left="360" w:hanging="360" w:hangingChars="15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技术</w:t>
      </w:r>
      <w:r>
        <w:rPr>
          <w:rFonts w:hint="eastAsia" w:ascii="宋体" w:hAnsi="宋体" w:eastAsia="宋体" w:cs="宋体"/>
          <w:sz w:val="24"/>
          <w:szCs w:val="24"/>
        </w:rPr>
        <w:t>要求</w:t>
      </w:r>
    </w:p>
    <w:p>
      <w:pPr>
        <w:pStyle w:val="2"/>
        <w:spacing w:line="360" w:lineRule="auto"/>
        <w:ind w:left="0" w:leftChars="0" w:firstLine="0" w:firstLineChars="0"/>
        <w:jc w:val="both"/>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2.1采购清单</w:t>
      </w:r>
    </w:p>
    <w:tbl>
      <w:tblPr>
        <w:tblStyle w:val="29"/>
        <w:tblW w:w="9315" w:type="dxa"/>
        <w:tblInd w:w="-311" w:type="dxa"/>
        <w:shd w:val="clear" w:color="auto" w:fill="auto"/>
        <w:tblLayout w:type="fixed"/>
        <w:tblCellMar>
          <w:top w:w="0" w:type="dxa"/>
          <w:left w:w="108" w:type="dxa"/>
          <w:bottom w:w="0" w:type="dxa"/>
          <w:right w:w="108" w:type="dxa"/>
        </w:tblCellMar>
      </w:tblPr>
      <w:tblGrid>
        <w:gridCol w:w="590"/>
        <w:gridCol w:w="937"/>
        <w:gridCol w:w="1534"/>
        <w:gridCol w:w="460"/>
        <w:gridCol w:w="840"/>
        <w:gridCol w:w="1802"/>
        <w:gridCol w:w="840"/>
        <w:gridCol w:w="1029"/>
        <w:gridCol w:w="1283"/>
      </w:tblGrid>
      <w:tr>
        <w:tblPrEx>
          <w:tblCellMar>
            <w:top w:w="0" w:type="dxa"/>
            <w:left w:w="108" w:type="dxa"/>
            <w:bottom w:w="0" w:type="dxa"/>
            <w:right w:w="108" w:type="dxa"/>
          </w:tblCellMar>
        </w:tblPrEx>
        <w:trPr>
          <w:trHeight w:val="96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yellow"/>
                <w:u w:val="none"/>
              </w:rPr>
            </w:pPr>
            <w:r>
              <w:rPr>
                <w:rFonts w:hint="eastAsia" w:ascii="宋体" w:hAnsi="宋体" w:eastAsia="宋体" w:cs="宋体"/>
                <w:b/>
                <w:bCs/>
                <w:i w:val="0"/>
                <w:iCs w:val="0"/>
                <w:color w:val="000000"/>
                <w:kern w:val="0"/>
                <w:sz w:val="24"/>
                <w:szCs w:val="24"/>
                <w:highlight w:val="yellow"/>
                <w:u w:val="none"/>
                <w:lang w:val="en-US" w:eastAsia="zh-CN" w:bidi="ar"/>
              </w:rPr>
              <w:t>规格型号</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综合单价（元）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投标单价（元）</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总价（元）</w:t>
            </w:r>
          </w:p>
        </w:tc>
      </w:tr>
      <w:tr>
        <w:tblPrEx>
          <w:tblCellMar>
            <w:top w:w="0" w:type="dxa"/>
            <w:left w:w="108" w:type="dxa"/>
            <w:bottom w:w="0" w:type="dxa"/>
            <w:right w:w="108" w:type="dxa"/>
          </w:tblCellMar>
        </w:tblPrEx>
        <w:trPr>
          <w:trHeight w:val="2238"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成人手腕带</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top"/>
          </w:tcPr>
          <w:p>
            <w:pPr>
              <w:shd w:val="solid" w:color="FFFFFF" w:fill="auto"/>
              <w:autoSpaceDN w:val="0"/>
              <w:spacing w:line="23" w:lineRule="atLeast"/>
              <w:jc w:val="left"/>
              <w:rPr>
                <w:rFonts w:hint="eastAsia" w:ascii="宋体" w:hAnsi="宋体" w:eastAsia="宋体" w:cs="宋体"/>
                <w:kern w:val="2"/>
                <w:sz w:val="28"/>
                <w:szCs w:val="28"/>
                <w:highlight w:val="none"/>
                <w:vertAlign w:val="baseline"/>
                <w:lang w:val="en-US" w:eastAsia="zh-CN" w:bidi="ar-SA"/>
              </w:rPr>
            </w:pPr>
            <w:r>
              <w:rPr>
                <w:rFonts w:hint="eastAsia" w:ascii="宋体" w:hAnsi="宋体" w:eastAsia="宋体" w:cs="宋体"/>
                <w:sz w:val="21"/>
                <w:szCs w:val="21"/>
                <w:highlight w:val="none"/>
                <w:lang w:val="en-US" w:eastAsia="zh-CN"/>
              </w:rPr>
              <w:t>L280mm*</w:t>
            </w:r>
            <w:r>
              <w:rPr>
                <w:rFonts w:hint="eastAsia" w:ascii="宋体" w:hAnsi="宋体" w:cs="宋体"/>
                <w:sz w:val="21"/>
                <w:szCs w:val="21"/>
                <w:highlight w:val="none"/>
                <w:lang w:val="en-US" w:eastAsia="zh-CN"/>
              </w:rPr>
              <w:t>W</w:t>
            </w:r>
            <w:r>
              <w:rPr>
                <w:rFonts w:hint="eastAsia" w:ascii="宋体" w:hAnsi="宋体" w:eastAsia="宋体" w:cs="宋体"/>
                <w:sz w:val="21"/>
                <w:szCs w:val="21"/>
                <w:highlight w:val="none"/>
                <w:lang w:val="en-US" w:eastAsia="zh-CN"/>
              </w:rPr>
              <w:t>30mm，腕带净长度270mm，打印区域85mm×20mm.</w:t>
            </w:r>
            <w:r>
              <w:rPr>
                <w:rFonts w:hint="eastAsia"/>
                <w:highlight w:val="none"/>
              </w:rPr>
              <w:t>（</w:t>
            </w:r>
            <w:r>
              <w:rPr>
                <w:rFonts w:hint="eastAsia"/>
                <w:highlight w:val="none"/>
                <w:lang w:val="en-US" w:eastAsia="zh-CN"/>
              </w:rPr>
              <w:t>所有尺寸允许</w:t>
            </w:r>
            <w:r>
              <w:rPr>
                <w:rFonts w:hint="eastAsia"/>
                <w:highlight w:val="none"/>
              </w:rPr>
              <w:t>±</w:t>
            </w:r>
            <w:r>
              <w:rPr>
                <w:rFonts w:hint="eastAsia"/>
                <w:highlight w:val="none"/>
                <w:lang w:val="en-US" w:eastAsia="zh-CN"/>
              </w:rPr>
              <w:t>5</w:t>
            </w:r>
            <w:r>
              <w:rPr>
                <w:rFonts w:hint="eastAsia" w:ascii="宋体" w:hAnsi="宋体" w:eastAsia="宋体" w:cs="宋体"/>
                <w:sz w:val="21"/>
                <w:szCs w:val="21"/>
                <w:highlight w:val="none"/>
                <w:lang w:val="en-US" w:eastAsia="zh-CN"/>
              </w:rPr>
              <w:t>mm</w:t>
            </w:r>
            <w:r>
              <w:rPr>
                <w:rFonts w:hint="eastAsia"/>
                <w:highlight w:val="none"/>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42000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color w:val="000000"/>
                <w:sz w:val="22"/>
                <w:szCs w:val="24"/>
                <w:lang w:val="en-US" w:eastAsia="zh-CN"/>
              </w:rPr>
            </w:pPr>
            <w:r>
              <w:rPr>
                <w:rFonts w:hint="eastAsia" w:ascii="宋体" w:hAnsi="宋体"/>
                <w:color w:val="000000"/>
                <w:sz w:val="22"/>
                <w:szCs w:val="24"/>
                <w:lang w:val="en-US" w:eastAsia="zh-CN"/>
              </w:rPr>
              <w:t>柔软舒适，耐磨、抗腐蚀，防水、防酒精</w:t>
            </w:r>
          </w:p>
          <w:p>
            <w:pPr>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eastAsia="zh-CN"/>
              </w:rPr>
              <w:t>，腕带孔</w:t>
            </w:r>
            <w:r>
              <w:rPr>
                <w:rFonts w:hint="eastAsia" w:ascii="宋体" w:hAnsi="宋体"/>
                <w:color w:val="000000"/>
                <w:sz w:val="22"/>
                <w:szCs w:val="24"/>
                <w:lang w:val="en-US" w:eastAsia="zh-CN"/>
              </w:rPr>
              <w:t>必须为圆孔，无</w:t>
            </w:r>
            <w:r>
              <w:rPr>
                <w:rFonts w:hint="eastAsia" w:ascii="宋体" w:hAnsi="宋体"/>
                <w:color w:val="000000"/>
                <w:sz w:val="22"/>
                <w:szCs w:val="24"/>
                <w:lang w:eastAsia="zh-CN"/>
              </w:rPr>
              <w:t>废料粘连，孔边缘光滑无粗糙感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0.8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line="720" w:lineRule="auto"/>
              <w:jc w:val="center"/>
              <w:rPr>
                <w:rFonts w:hint="eastAsia" w:ascii="宋体" w:hAnsi="宋体" w:eastAsia="宋体" w:cs="Times New Roman"/>
                <w:color w:val="000000"/>
                <w:kern w:val="2"/>
                <w:sz w:val="22"/>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720" w:lineRule="auto"/>
              <w:jc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33600</w:t>
            </w:r>
          </w:p>
        </w:tc>
      </w:tr>
      <w:tr>
        <w:tblPrEx>
          <w:tblCellMar>
            <w:top w:w="0" w:type="dxa"/>
            <w:left w:w="108" w:type="dxa"/>
            <w:bottom w:w="0" w:type="dxa"/>
            <w:right w:w="108"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儿童手腕带</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1"/>
              <w:rPr>
                <w:rFonts w:hint="eastAsia" w:ascii="宋体" w:hAnsi="宋体" w:eastAsia="宋体" w:cs="宋体"/>
                <w:kern w:val="2"/>
                <w:sz w:val="28"/>
                <w:szCs w:val="28"/>
                <w:highlight w:val="none"/>
                <w:vertAlign w:val="baseline"/>
                <w:lang w:val="en-US" w:eastAsia="zh-CN" w:bidi="ar-SA"/>
              </w:rPr>
            </w:pPr>
            <w:r>
              <w:rPr>
                <w:rFonts w:hint="eastAsia" w:ascii="宋体" w:hAnsi="宋体" w:eastAsia="宋体" w:cs="宋体"/>
                <w:sz w:val="21"/>
                <w:szCs w:val="21"/>
                <w:highlight w:val="none"/>
                <w:lang w:val="en-US" w:eastAsia="zh-CN"/>
              </w:rPr>
              <w:t>L220mm×</w:t>
            </w:r>
            <w:r>
              <w:rPr>
                <w:rFonts w:hint="eastAsia" w:ascii="宋体" w:hAnsi="宋体" w:cs="宋体"/>
                <w:sz w:val="21"/>
                <w:szCs w:val="21"/>
                <w:highlight w:val="none"/>
                <w:lang w:val="en-US" w:eastAsia="zh-CN"/>
              </w:rPr>
              <w:t>W</w:t>
            </w:r>
            <w:r>
              <w:rPr>
                <w:rFonts w:hint="eastAsia" w:ascii="宋体" w:hAnsi="宋体" w:eastAsia="宋体" w:cs="宋体"/>
                <w:sz w:val="21"/>
                <w:szCs w:val="21"/>
                <w:highlight w:val="none"/>
                <w:lang w:val="en-US" w:eastAsia="zh-CN"/>
              </w:rPr>
              <w:t>30mm腕带净长度205mm，打印区域68mm×20mm.（所有尺寸</w:t>
            </w:r>
            <w:r>
              <w:rPr>
                <w:rFonts w:hint="eastAsia" w:ascii="宋体" w:hAnsi="宋体" w:cs="宋体"/>
                <w:sz w:val="21"/>
                <w:szCs w:val="21"/>
                <w:highlight w:val="none"/>
                <w:lang w:val="en-US" w:eastAsia="zh-CN"/>
              </w:rPr>
              <w:t>允许</w:t>
            </w:r>
            <w:r>
              <w:rPr>
                <w:rFonts w:hint="eastAsia" w:ascii="宋体" w:hAnsi="宋体" w:eastAsia="宋体" w:cs="宋体"/>
                <w:sz w:val="21"/>
                <w:szCs w:val="21"/>
                <w:highlight w:val="none"/>
                <w:lang w:val="en-US" w:eastAsia="zh-CN"/>
              </w:rPr>
              <w:t>±5mm）</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4000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柔软舒适，耐磨、抗腐蚀，防水、防酒精</w:t>
            </w:r>
            <w:r>
              <w:rPr>
                <w:rFonts w:hint="eastAsia" w:ascii="宋体" w:hAnsi="宋体"/>
                <w:color w:val="000000"/>
                <w:sz w:val="22"/>
                <w:szCs w:val="24"/>
                <w:lang w:eastAsia="zh-CN"/>
              </w:rPr>
              <w:t>，腕带孔</w:t>
            </w:r>
            <w:r>
              <w:rPr>
                <w:rFonts w:hint="eastAsia" w:ascii="宋体" w:hAnsi="宋体"/>
                <w:color w:val="000000"/>
                <w:sz w:val="22"/>
                <w:szCs w:val="24"/>
                <w:lang w:val="en-US" w:eastAsia="zh-CN"/>
              </w:rPr>
              <w:t>必须为圆孔，无</w:t>
            </w:r>
            <w:r>
              <w:rPr>
                <w:rFonts w:hint="eastAsia" w:ascii="宋体" w:hAnsi="宋体"/>
                <w:color w:val="000000"/>
                <w:sz w:val="22"/>
                <w:szCs w:val="24"/>
                <w:lang w:eastAsia="zh-CN"/>
              </w:rPr>
              <w:t>废料粘连，孔边缘光滑无粗糙感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0.8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line="720" w:lineRule="auto"/>
              <w:jc w:val="center"/>
              <w:rPr>
                <w:rFonts w:hint="eastAsia" w:ascii="宋体" w:hAnsi="宋体" w:eastAsia="宋体" w:cs="Times New Roman"/>
                <w:color w:val="000000"/>
                <w:kern w:val="2"/>
                <w:sz w:val="22"/>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720" w:lineRule="auto"/>
              <w:jc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3200</w:t>
            </w:r>
          </w:p>
        </w:tc>
      </w:tr>
      <w:tr>
        <w:tblPrEx>
          <w:tblCellMar>
            <w:top w:w="0" w:type="dxa"/>
            <w:left w:w="108" w:type="dxa"/>
            <w:bottom w:w="0" w:type="dxa"/>
            <w:right w:w="108" w:type="dxa"/>
          </w:tblCellMar>
        </w:tblPrEx>
        <w:trPr>
          <w:trHeight w:val="205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新生儿手腕带</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1"/>
              <w:rPr>
                <w:rFonts w:hint="eastAsia" w:ascii="宋体" w:hAnsi="宋体" w:eastAsia="宋体" w:cs="宋体"/>
                <w:kern w:val="2"/>
                <w:sz w:val="28"/>
                <w:szCs w:val="28"/>
                <w:highlight w:val="none"/>
                <w:vertAlign w:val="baseline"/>
                <w:lang w:val="en-US" w:eastAsia="zh-CN" w:bidi="ar-SA"/>
              </w:rPr>
            </w:pPr>
            <w:r>
              <w:rPr>
                <w:rFonts w:hint="eastAsia" w:ascii="宋体" w:hAnsi="宋体" w:eastAsia="宋体" w:cs="宋体"/>
                <w:sz w:val="21"/>
                <w:szCs w:val="21"/>
                <w:highlight w:val="none"/>
                <w:lang w:val="en-US" w:eastAsia="zh-CN"/>
              </w:rPr>
              <w:t>L158mm×</w:t>
            </w:r>
            <w:r>
              <w:rPr>
                <w:rFonts w:hint="eastAsia" w:ascii="宋体" w:hAnsi="宋体" w:cs="宋体"/>
                <w:sz w:val="21"/>
                <w:szCs w:val="21"/>
                <w:highlight w:val="none"/>
                <w:lang w:val="en-US" w:eastAsia="zh-CN"/>
              </w:rPr>
              <w:t>W</w:t>
            </w:r>
            <w:r>
              <w:rPr>
                <w:rFonts w:hint="eastAsia" w:ascii="宋体" w:hAnsi="宋体" w:eastAsia="宋体" w:cs="宋体"/>
                <w:sz w:val="21"/>
                <w:szCs w:val="21"/>
                <w:highlight w:val="none"/>
                <w:lang w:val="en-US" w:eastAsia="zh-CN"/>
              </w:rPr>
              <w:t>30mm，腕带净长度145mm，打印区域60mm×15mm（所有尺寸</w:t>
            </w:r>
            <w:r>
              <w:rPr>
                <w:rFonts w:hint="eastAsia" w:ascii="宋体" w:hAnsi="宋体" w:cs="宋体"/>
                <w:sz w:val="21"/>
                <w:szCs w:val="21"/>
                <w:highlight w:val="none"/>
                <w:lang w:val="en-US" w:eastAsia="zh-CN"/>
              </w:rPr>
              <w:t>允许</w:t>
            </w:r>
            <w:r>
              <w:rPr>
                <w:rFonts w:hint="eastAsia" w:ascii="宋体" w:hAnsi="宋体" w:eastAsia="宋体" w:cs="宋体"/>
                <w:sz w:val="21"/>
                <w:szCs w:val="21"/>
                <w:highlight w:val="none"/>
                <w:lang w:val="en-US" w:eastAsia="zh-CN"/>
              </w:rPr>
              <w:t>±5mm）</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4000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柔软舒适，耐磨、抗腐蚀，防水、防酒精</w:t>
            </w:r>
            <w:r>
              <w:rPr>
                <w:rFonts w:hint="eastAsia" w:ascii="宋体" w:hAnsi="宋体"/>
                <w:color w:val="000000"/>
                <w:sz w:val="22"/>
                <w:szCs w:val="24"/>
                <w:lang w:eastAsia="zh-CN"/>
              </w:rPr>
              <w:t>，腕带孔</w:t>
            </w:r>
            <w:r>
              <w:rPr>
                <w:rFonts w:hint="eastAsia" w:ascii="宋体" w:hAnsi="宋体"/>
                <w:color w:val="000000"/>
                <w:sz w:val="22"/>
                <w:szCs w:val="24"/>
                <w:lang w:val="en-US" w:eastAsia="zh-CN"/>
              </w:rPr>
              <w:t>必须为圆孔，无</w:t>
            </w:r>
            <w:r>
              <w:rPr>
                <w:rFonts w:hint="eastAsia" w:ascii="宋体" w:hAnsi="宋体"/>
                <w:color w:val="000000"/>
                <w:sz w:val="22"/>
                <w:szCs w:val="24"/>
                <w:lang w:eastAsia="zh-CN"/>
              </w:rPr>
              <w:t>废料粘连，孔边缘光滑无粗糙感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0.8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line="720" w:lineRule="auto"/>
              <w:jc w:val="center"/>
              <w:rPr>
                <w:rFonts w:hint="eastAsia" w:ascii="宋体" w:hAnsi="宋体" w:eastAsia="宋体" w:cs="Times New Roman"/>
                <w:color w:val="000000"/>
                <w:kern w:val="2"/>
                <w:sz w:val="22"/>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720" w:lineRule="auto"/>
              <w:jc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3200</w:t>
            </w:r>
          </w:p>
        </w:tc>
      </w:tr>
    </w:tbl>
    <w:p>
      <w:pPr>
        <w:spacing w:line="360" w:lineRule="auto"/>
        <w:rPr>
          <w:rFonts w:hint="eastAsia" w:ascii="宋体" w:hAnsi="宋体" w:eastAsia="宋体" w:cs="宋体"/>
          <w:sz w:val="24"/>
          <w:szCs w:val="24"/>
          <w:highlight w:val="none"/>
          <w:lang w:val="en-US" w:eastAsia="zh-CN"/>
        </w:rPr>
      </w:pP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2.2其他要求：</w:t>
      </w:r>
    </w:p>
    <w:p>
      <w:pPr>
        <w:numPr>
          <w:ilvl w:val="0"/>
          <w:numId w:val="2"/>
        </w:num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质量保证：投标人对所供所有产品的质量负责，质保期从验收入库当日算起，按产品包装及国家相关政策执行。</w:t>
      </w:r>
    </w:p>
    <w:p>
      <w:pPr>
        <w:pStyle w:val="2"/>
        <w:numPr>
          <w:ilvl w:val="0"/>
          <w:numId w:val="0"/>
        </w:numPr>
        <w:spacing w:line="36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中标人必须按照采购人清单要求的型号、参数、规格供货，不得随意更改，所供产品必须为原制造商制造的全新货物且必须符合国家规定的相关标准及行业规范，并未对其子部件等作任何的更改和替换，产品无污染，无任何缺陷隐患，否则采购人有权拒收并要求退货换货，中标人承担由此产生的一切费用。</w:t>
      </w:r>
    </w:p>
    <w:p>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（3）中标人根据采购人要求</w:t>
      </w:r>
      <w:r>
        <w:rPr>
          <w:rFonts w:hint="eastAsia" w:ascii="宋体" w:hAnsi="宋体" w:eastAsia="宋体" w:cs="宋体"/>
          <w:b w:val="0"/>
          <w:bCs w:val="0"/>
          <w:sz w:val="24"/>
          <w:szCs w:val="24"/>
          <w:highlight w:val="yellow"/>
          <w:lang w:val="en-US" w:eastAsia="zh-CN"/>
        </w:rPr>
        <w:t>另配彩色扣子</w:t>
      </w:r>
      <w:r>
        <w:rPr>
          <w:rFonts w:hint="eastAsia" w:ascii="宋体" w:hAnsi="宋体" w:eastAsia="宋体" w:cs="宋体"/>
          <w:b w:val="0"/>
          <w:bCs w:val="0"/>
          <w:sz w:val="24"/>
          <w:szCs w:val="24"/>
          <w:highlight w:val="none"/>
          <w:lang w:val="en-US" w:eastAsia="zh-CN"/>
        </w:rPr>
        <w:t>（包含但不限于粉色、黄色、绿色、红色），中标人提供采购人所需的足量的</w:t>
      </w:r>
      <w:r>
        <w:rPr>
          <w:rFonts w:hint="eastAsia" w:ascii="宋体" w:hAnsi="宋体" w:cs="宋体"/>
          <w:b w:val="0"/>
          <w:bCs w:val="0"/>
          <w:sz w:val="24"/>
          <w:szCs w:val="24"/>
          <w:highlight w:val="yellow"/>
          <w:lang w:val="en-US" w:eastAsia="zh-CN"/>
        </w:rPr>
        <w:t>全新</w:t>
      </w:r>
      <w:r>
        <w:rPr>
          <w:rFonts w:hint="eastAsia" w:ascii="宋体" w:hAnsi="宋体" w:eastAsia="宋体" w:cs="宋体"/>
          <w:b w:val="0"/>
          <w:bCs w:val="0"/>
          <w:sz w:val="24"/>
          <w:szCs w:val="24"/>
          <w:highlight w:val="yellow"/>
          <w:lang w:val="en-US" w:eastAsia="zh-CN"/>
        </w:rPr>
        <w:t>打印机</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打印机</w:t>
      </w:r>
      <w:r>
        <w:rPr>
          <w:rFonts w:hint="eastAsia" w:ascii="宋体" w:hAnsi="宋体" w:eastAsia="宋体" w:cs="宋体"/>
          <w:b w:val="0"/>
          <w:bCs w:val="0"/>
          <w:sz w:val="24"/>
          <w:szCs w:val="24"/>
          <w:highlight w:val="none"/>
          <w:lang w:val="en-US" w:eastAsia="zh-CN"/>
        </w:rPr>
        <w:t>与手腕带、医院系统适配且打印字体清晰；</w:t>
      </w:r>
      <w:r>
        <w:rPr>
          <w:rFonts w:hint="eastAsia" w:ascii="宋体" w:hAnsi="宋体" w:cs="宋体"/>
          <w:b w:val="0"/>
          <w:bCs w:val="0"/>
          <w:sz w:val="24"/>
          <w:szCs w:val="24"/>
          <w:highlight w:val="none"/>
          <w:lang w:val="en-US" w:eastAsia="zh-CN"/>
        </w:rPr>
        <w:t>打印机</w:t>
      </w:r>
      <w:r>
        <w:rPr>
          <w:rFonts w:hint="eastAsia" w:ascii="宋体" w:hAnsi="宋体" w:eastAsia="宋体" w:cs="宋体"/>
          <w:b w:val="0"/>
          <w:bCs w:val="0"/>
          <w:sz w:val="24"/>
          <w:szCs w:val="24"/>
          <w:highlight w:val="none"/>
          <w:lang w:val="en-US" w:eastAsia="zh-CN"/>
        </w:rPr>
        <w:t>数量：至少</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台以上，以实际需求为准）</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为了保证服务能力和便捷，适配打印机型号需和腕带为同一生产商</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合同期限内以采购人实际需求为准足额配给碳带），并负责其所有的售后维修等工作</w:t>
      </w:r>
      <w:r>
        <w:rPr>
          <w:rFonts w:hint="eastAsia" w:ascii="宋体" w:hAnsi="宋体" w:cs="宋体"/>
          <w:b w:val="0"/>
          <w:bCs w:val="0"/>
          <w:sz w:val="24"/>
          <w:szCs w:val="24"/>
          <w:highlight w:val="none"/>
          <w:lang w:val="en-US" w:eastAsia="zh-CN"/>
        </w:rPr>
        <w:t>。</w:t>
      </w:r>
    </w:p>
    <w:p>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（4）中标人可根据采购人要求在手腕带上定制各类名称及logo等内容。</w:t>
      </w:r>
    </w:p>
    <w:p>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（5）中标人不能交付货物，则由中标人向采购人支付合同总价的5‰的违约金，且采购人有权终止合同。</w:t>
      </w:r>
    </w:p>
    <w:p>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中标人按照采购人实际叫货时间起48小时内足额送到（包含手腕带、碳带、扣子、手腕带机）。逾期交付货物的，每逾期1天，采购人有权收取逾期交货部分货款总额的5‰的滞纳金，累计滞纳金不超过逾期交货部分货款总额的5%，逾期交货超过10天，采购人有权终止合同。</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）中标人所交的货物品种、型号、规格、材质、工艺等不符合采购人要求的，</w:t>
      </w:r>
      <w:r>
        <w:rPr>
          <w:rFonts w:hint="eastAsia" w:ascii="宋体" w:hAnsi="宋体" w:eastAsia="宋体" w:cs="宋体"/>
          <w:b w:val="0"/>
          <w:bCs w:val="0"/>
          <w:sz w:val="24"/>
          <w:szCs w:val="24"/>
          <w:lang w:val="en-US" w:eastAsia="zh-CN"/>
        </w:rPr>
        <w:t>采购人有权拒收货物。中标人向采购人支付该批货款总额的5‰的违约金。</w:t>
      </w:r>
    </w:p>
    <w:p>
      <w:pPr>
        <w:pStyle w:val="2"/>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）如经中标人两次退换，货物仍不能达到合同约定质量标准，采购人有权退货，中标人退回全部货款，同时，中标人还须赔偿采购人因此遭受的损失。</w:t>
      </w:r>
    </w:p>
    <w:p>
      <w:pPr>
        <w:pStyle w:val="2"/>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lang w:val="en-US" w:eastAsia="zh-CN"/>
        </w:rPr>
        <w:t>）中标人所供货物必须权属清楚，不得侵害他人的知识产权，否则构成对采购人违约，中标人须赔偿采购人两倍货物价款。</w:t>
      </w:r>
    </w:p>
    <w:p>
      <w:pPr>
        <w:pStyle w:val="2"/>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0</w:t>
      </w:r>
      <w:r>
        <w:rPr>
          <w:rFonts w:hint="eastAsia" w:ascii="宋体" w:hAnsi="宋体" w:eastAsia="宋体" w:cs="宋体"/>
          <w:b w:val="0"/>
          <w:bCs w:val="0"/>
          <w:sz w:val="24"/>
          <w:szCs w:val="24"/>
          <w:lang w:val="en-US" w:eastAsia="zh-CN"/>
        </w:rPr>
        <w:t>）合作期间，所有因中标人原因逾期交货或货物质量问题更换不及时的，采购人向中标人出具书面整改通知，如果中标人在规定时间内整改不到位或拒绝整改，采购人有权视实际情况扣款100-10000元。</w:t>
      </w:r>
    </w:p>
    <w:p>
      <w:pPr>
        <w:pStyle w:val="2"/>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）合同期内采购人下达三次整改通知的，采购人有权终止合同。</w:t>
      </w:r>
    </w:p>
    <w:p>
      <w:pPr>
        <w:pStyle w:val="2"/>
        <w:numPr>
          <w:ilvl w:val="0"/>
          <w:numId w:val="0"/>
        </w:numPr>
        <w:spacing w:line="360" w:lineRule="auto"/>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highlight w:val="none"/>
          <w:lang w:val="en-US" w:eastAsia="zh-CN"/>
        </w:rPr>
        <w:t>中标人需及时与采购人核对送货金额及合同剩余额度，如出现中标人未及时告知送货情况及核对发票导致超出合同金额，采购人有权不支付超出合同部分金额。</w:t>
      </w:r>
    </w:p>
    <w:p>
      <w:pPr>
        <w:pStyle w:val="2"/>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）所有扣款从货物应付货款中扣除。</w:t>
      </w:r>
    </w:p>
    <w:p>
      <w:pPr>
        <w:tabs>
          <w:tab w:val="left" w:pos="425"/>
        </w:tabs>
        <w:spacing w:beforeLines="50" w:afterLines="50"/>
        <w:ind w:right="120" w:rightChars="50"/>
        <w:rPr>
          <w:rFonts w:ascii="宋体" w:hAnsi="宋体" w:cs="Arial"/>
          <w:bCs/>
        </w:rPr>
      </w:pPr>
    </w:p>
    <w:p>
      <w:pPr>
        <w:tabs>
          <w:tab w:val="left" w:pos="425"/>
        </w:tabs>
        <w:spacing w:beforeLines="50" w:afterLines="50"/>
        <w:ind w:right="120" w:rightChars="50"/>
        <w:rPr>
          <w:rFonts w:ascii="宋体" w:hAnsi="宋体" w:cs="Arial"/>
          <w:bCs/>
        </w:rPr>
      </w:pPr>
    </w:p>
    <w:p>
      <w:pPr>
        <w:tabs>
          <w:tab w:val="left" w:pos="425"/>
        </w:tabs>
        <w:spacing w:beforeLines="50" w:afterLines="50"/>
        <w:ind w:right="120" w:rightChars="50"/>
        <w:rPr>
          <w:rFonts w:ascii="宋体" w:hAnsi="宋体" w:cs="Arial"/>
          <w:bCs/>
        </w:rPr>
      </w:pPr>
    </w:p>
    <w:p>
      <w:pPr>
        <w:tabs>
          <w:tab w:val="left" w:pos="425"/>
        </w:tabs>
        <w:spacing w:beforeLines="50" w:afterLines="50"/>
        <w:ind w:right="120" w:rightChars="50"/>
        <w:rPr>
          <w:rFonts w:ascii="宋体" w:hAnsi="宋体" w:cs="Arial"/>
          <w:bCs/>
        </w:rPr>
      </w:pPr>
    </w:p>
    <w:p>
      <w:pPr>
        <w:tabs>
          <w:tab w:val="left" w:pos="425"/>
        </w:tabs>
        <w:spacing w:beforeLines="50" w:afterLines="50"/>
        <w:ind w:right="120" w:rightChars="50"/>
        <w:rPr>
          <w:rFonts w:ascii="宋体" w:hAnsi="宋体" w:cs="Arial"/>
          <w:bCs/>
        </w:rPr>
      </w:pPr>
      <w:r>
        <w:rPr>
          <w:rFonts w:hint="eastAsia" w:ascii="宋体" w:hAnsi="宋体" w:cs="Arial"/>
          <w:bCs/>
        </w:rPr>
        <w:t>（二）商务条件</w:t>
      </w:r>
    </w:p>
    <w:bookmarkEnd w:id="74"/>
    <w:bookmarkEnd w:id="75"/>
    <w:bookmarkEnd w:id="76"/>
    <w:bookmarkEnd w:id="77"/>
    <w:bookmarkEnd w:id="78"/>
    <w:bookmarkEnd w:id="79"/>
    <w:bookmarkEnd w:id="80"/>
    <w:p>
      <w:pPr>
        <w:spacing w:line="360" w:lineRule="auto"/>
        <w:ind w:left="360" w:hanging="360" w:hangingChars="150"/>
        <w:rPr>
          <w:rFonts w:hint="eastAsia" w:ascii="宋体" w:hAnsi="宋体" w:eastAsia="宋体" w:cs="宋体"/>
          <w:strike/>
          <w:dstrike w:val="0"/>
          <w:sz w:val="24"/>
          <w:szCs w:val="24"/>
          <w:lang w:val="en-US" w:eastAsia="zh-CN"/>
        </w:rPr>
      </w:pPr>
      <w:r>
        <w:rPr>
          <w:rFonts w:hint="eastAsia" w:ascii="宋体" w:hAnsi="宋体" w:eastAsia="宋体" w:cs="宋体"/>
          <w:sz w:val="24"/>
          <w:szCs w:val="24"/>
        </w:rPr>
        <w:t>3.1付款方式：货到验收合格后，</w:t>
      </w:r>
      <w:r>
        <w:rPr>
          <w:rFonts w:hint="eastAsia" w:ascii="宋体" w:hAnsi="宋体" w:eastAsia="宋体" w:cs="宋体"/>
          <w:sz w:val="24"/>
          <w:szCs w:val="24"/>
          <w:highlight w:val="yellow"/>
        </w:rPr>
        <w:t>据实结算货款</w:t>
      </w:r>
      <w:r>
        <w:rPr>
          <w:rFonts w:hint="eastAsia" w:ascii="宋体" w:hAnsi="宋体" w:eastAsia="宋体" w:cs="宋体"/>
          <w:sz w:val="24"/>
          <w:szCs w:val="24"/>
        </w:rPr>
        <w:t>，</w:t>
      </w:r>
      <w:r>
        <w:rPr>
          <w:rFonts w:hint="eastAsia" w:ascii="宋体" w:hAnsi="宋体" w:eastAsia="宋体" w:cs="宋体"/>
          <w:sz w:val="24"/>
          <w:szCs w:val="24"/>
          <w:lang w:eastAsia="zh-CN"/>
        </w:rPr>
        <w:t>采购人</w:t>
      </w:r>
      <w:r>
        <w:rPr>
          <w:rFonts w:hint="eastAsia" w:ascii="宋体" w:hAnsi="宋体" w:eastAsia="宋体" w:cs="宋体"/>
          <w:sz w:val="24"/>
          <w:szCs w:val="24"/>
        </w:rPr>
        <w:t>收到</w:t>
      </w:r>
      <w:r>
        <w:rPr>
          <w:rFonts w:hint="eastAsia" w:ascii="宋体" w:hAnsi="宋体" w:cs="宋体"/>
          <w:sz w:val="24"/>
          <w:szCs w:val="24"/>
          <w:lang w:eastAsia="zh-CN"/>
        </w:rPr>
        <w:t>中标人</w:t>
      </w:r>
      <w:r>
        <w:rPr>
          <w:rFonts w:hint="eastAsia" w:ascii="宋体" w:hAnsi="宋体" w:eastAsia="宋体" w:cs="宋体"/>
          <w:sz w:val="24"/>
          <w:szCs w:val="24"/>
        </w:rPr>
        <w:t>开具合法、等额、完税的正规发票后，</w:t>
      </w:r>
      <w:r>
        <w:rPr>
          <w:rFonts w:hint="eastAsia" w:ascii="宋体" w:hAnsi="宋体" w:eastAsia="宋体" w:cs="宋体"/>
          <w:sz w:val="24"/>
          <w:szCs w:val="24"/>
          <w:lang w:val="en-US" w:eastAsia="zh-CN"/>
        </w:rPr>
        <w:t>60日</w:t>
      </w:r>
      <w:r>
        <w:rPr>
          <w:rFonts w:hint="eastAsia" w:ascii="宋体" w:hAnsi="宋体" w:eastAsia="宋体" w:cs="宋体"/>
          <w:sz w:val="24"/>
          <w:szCs w:val="24"/>
        </w:rPr>
        <w:t>内</w:t>
      </w:r>
      <w:r>
        <w:rPr>
          <w:rFonts w:hint="eastAsia" w:ascii="宋体" w:hAnsi="宋体" w:eastAsia="宋体" w:cs="宋体"/>
          <w:sz w:val="24"/>
          <w:szCs w:val="24"/>
          <w:lang w:eastAsia="zh-CN"/>
        </w:rPr>
        <w:t>采购人</w:t>
      </w:r>
      <w:r>
        <w:rPr>
          <w:rFonts w:hint="eastAsia" w:ascii="宋体" w:hAnsi="宋体" w:eastAsia="宋体" w:cs="宋体"/>
          <w:sz w:val="24"/>
          <w:szCs w:val="24"/>
        </w:rPr>
        <w:t>将本批次付款至</w:t>
      </w:r>
      <w:r>
        <w:rPr>
          <w:rFonts w:hint="eastAsia" w:ascii="宋体" w:hAnsi="宋体" w:cs="宋体"/>
          <w:sz w:val="24"/>
          <w:szCs w:val="24"/>
          <w:lang w:eastAsia="zh-CN"/>
        </w:rPr>
        <w:t>中标人</w:t>
      </w:r>
      <w:r>
        <w:rPr>
          <w:rFonts w:hint="eastAsia" w:ascii="宋体" w:hAnsi="宋体" w:eastAsia="宋体" w:cs="宋体"/>
          <w:sz w:val="24"/>
          <w:szCs w:val="24"/>
        </w:rPr>
        <w:t>发票指定的开户银行及账号。</w:t>
      </w:r>
    </w:p>
    <w:p>
      <w:pPr>
        <w:spacing w:line="360" w:lineRule="auto"/>
        <w:ind w:left="240" w:hanging="240" w:hangingChars="100"/>
        <w:rPr>
          <w:rFonts w:hint="eastAsia" w:asciiTheme="minorEastAsia" w:hAnsiTheme="minorEastAsia"/>
          <w:szCs w:val="24"/>
          <w:lang w:val="en-US" w:eastAsia="zh-CN"/>
        </w:rPr>
      </w:pPr>
      <w:r>
        <w:rPr>
          <w:rFonts w:hint="eastAsia" w:ascii="宋体" w:hAnsi="宋体" w:cs="宋体"/>
          <w:sz w:val="24"/>
          <w:szCs w:val="24"/>
          <w:lang w:val="en-US" w:eastAsia="zh-CN"/>
        </w:rPr>
        <w:t>3.2</w:t>
      </w:r>
      <w:r>
        <w:rPr>
          <w:rFonts w:hint="eastAsia" w:ascii="宋体" w:hAnsi="宋体" w:eastAsia="宋体" w:cs="宋体"/>
          <w:sz w:val="24"/>
          <w:szCs w:val="24"/>
        </w:rPr>
        <w:t>验收方式：首次送货采用集体随机抽样验收方式（保留验收单），要求品质与样品完全一致，往后送货采用入库验收方式，要求品质与样品完全一致。货物交付时，需提供相关资质材料、送货清单等，且货物包装完好，否则，</w:t>
      </w:r>
      <w:r>
        <w:rPr>
          <w:rFonts w:hint="eastAsia" w:ascii="宋体" w:hAnsi="宋体" w:eastAsia="宋体" w:cs="宋体"/>
          <w:sz w:val="24"/>
          <w:szCs w:val="24"/>
          <w:lang w:eastAsia="zh-CN"/>
        </w:rPr>
        <w:t>采购人</w:t>
      </w:r>
      <w:r>
        <w:rPr>
          <w:rFonts w:hint="eastAsia" w:ascii="宋体" w:hAnsi="宋体" w:eastAsia="宋体" w:cs="宋体"/>
          <w:sz w:val="24"/>
          <w:szCs w:val="24"/>
        </w:rPr>
        <w:t>有权拒收。</w:t>
      </w:r>
    </w:p>
    <w:p>
      <w:pPr>
        <w:spacing w:line="360" w:lineRule="auto"/>
        <w:ind w:left="480" w:hanging="480" w:hangingChars="200"/>
        <w:rPr>
          <w:rFonts w:hint="eastAsia" w:ascii="宋体" w:hAnsi="宋体" w:eastAsia="宋体" w:cs="宋体"/>
          <w:sz w:val="24"/>
          <w:szCs w:val="24"/>
          <w:lang w:val="en-US" w:eastAsia="zh-CN"/>
        </w:rPr>
      </w:pPr>
      <w:r>
        <w:rPr>
          <w:rFonts w:hint="eastAsia" w:ascii="宋体" w:hAnsi="宋体" w:cs="宋体"/>
          <w:sz w:val="24"/>
          <w:szCs w:val="24"/>
          <w:lang w:val="en-US" w:eastAsia="zh-CN"/>
        </w:rPr>
        <w:t>3.3</w:t>
      </w:r>
      <w:r>
        <w:rPr>
          <w:rFonts w:hint="eastAsia" w:ascii="宋体" w:hAnsi="宋体" w:eastAsia="宋体" w:cs="宋体"/>
          <w:sz w:val="24"/>
          <w:szCs w:val="24"/>
        </w:rPr>
        <w:t>运输、安装、质保、售后</w:t>
      </w:r>
    </w:p>
    <w:p>
      <w:pPr>
        <w:spacing w:line="360" w:lineRule="auto"/>
        <w:ind w:left="480" w:hanging="480" w:hanging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运输：</w:t>
      </w:r>
      <w:r>
        <w:rPr>
          <w:rFonts w:hint="eastAsia" w:ascii="宋体" w:hAnsi="宋体" w:eastAsia="宋体" w:cs="宋体"/>
          <w:sz w:val="24"/>
          <w:szCs w:val="24"/>
        </w:rPr>
        <w:t>中标人负责送货上门、安装、调试（过程中所需的专用工具和辅助材料由中标人提供，并提供设备使用的全部资料）</w:t>
      </w:r>
      <w:r>
        <w:rPr>
          <w:rFonts w:hint="eastAsia" w:ascii="宋体" w:hAnsi="宋体" w:eastAsia="宋体" w:cs="宋体"/>
          <w:sz w:val="24"/>
          <w:szCs w:val="24"/>
          <w:lang w:val="en-US" w:eastAsia="zh-CN"/>
        </w:rPr>
        <w:t>、培训等</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highlight w:val="yellow"/>
        </w:rPr>
        <w:t>售后服务：</w:t>
      </w:r>
      <w:r>
        <w:rPr>
          <w:rFonts w:hint="eastAsia" w:ascii="宋体" w:hAnsi="宋体" w:eastAsia="宋体" w:cs="宋体"/>
          <w:b w:val="0"/>
          <w:bCs w:val="0"/>
          <w:sz w:val="24"/>
          <w:szCs w:val="24"/>
          <w:highlight w:val="yellow"/>
          <w:lang w:val="en-US" w:eastAsia="zh-CN"/>
        </w:rPr>
        <w:t>要求至少一位维修人员</w:t>
      </w:r>
      <w:r>
        <w:rPr>
          <w:rFonts w:hint="eastAsia" w:ascii="宋体" w:hAnsi="宋体" w:cs="宋体"/>
          <w:b w:val="0"/>
          <w:bCs w:val="0"/>
          <w:sz w:val="24"/>
          <w:szCs w:val="24"/>
          <w:highlight w:val="yellow"/>
          <w:lang w:val="en-US" w:eastAsia="zh-CN"/>
        </w:rPr>
        <w:t>，</w:t>
      </w:r>
      <w:r>
        <w:rPr>
          <w:rFonts w:hint="eastAsia" w:ascii="宋体" w:hAnsi="宋体" w:eastAsia="宋体" w:cs="宋体"/>
          <w:sz w:val="24"/>
          <w:szCs w:val="24"/>
        </w:rPr>
        <w:t>提供7x24小时售后服务热线，在接到采购人维修通知后服务随时响应</w:t>
      </w:r>
      <w:r>
        <w:rPr>
          <w:rFonts w:hint="eastAsia" w:ascii="宋体" w:hAnsi="宋体" w:cs="宋体"/>
          <w:sz w:val="24"/>
          <w:szCs w:val="24"/>
          <w:lang w:eastAsia="zh-CN"/>
        </w:rPr>
        <w:t>，</w:t>
      </w:r>
      <w:r>
        <w:rPr>
          <w:rFonts w:hint="eastAsia" w:ascii="宋体" w:hAnsi="宋体" w:eastAsia="宋体" w:cs="宋体"/>
          <w:sz w:val="24"/>
          <w:szCs w:val="24"/>
        </w:rPr>
        <w:t>从报修时间起</w:t>
      </w:r>
      <w:r>
        <w:rPr>
          <w:rFonts w:hint="eastAsia" w:ascii="宋体" w:hAnsi="宋体" w:cs="宋体"/>
          <w:sz w:val="24"/>
          <w:szCs w:val="24"/>
          <w:lang w:val="en-US" w:eastAsia="zh-CN"/>
        </w:rPr>
        <w:t>24</w:t>
      </w:r>
      <w:r>
        <w:rPr>
          <w:rFonts w:hint="eastAsia" w:ascii="宋体" w:hAnsi="宋体" w:eastAsia="宋体" w:cs="宋体"/>
          <w:sz w:val="24"/>
          <w:szCs w:val="24"/>
        </w:rPr>
        <w:t>小时内完成维修。若通讯工具不能解决问题，必须在</w:t>
      </w:r>
      <w:r>
        <w:rPr>
          <w:rFonts w:hint="eastAsia" w:ascii="宋体" w:hAnsi="宋体" w:cs="宋体"/>
          <w:sz w:val="24"/>
          <w:szCs w:val="24"/>
          <w:lang w:val="en-US" w:eastAsia="zh-CN"/>
        </w:rPr>
        <w:t>48</w:t>
      </w:r>
      <w:r>
        <w:rPr>
          <w:rFonts w:hint="eastAsia" w:ascii="宋体" w:hAnsi="宋体" w:eastAsia="宋体" w:cs="宋体"/>
          <w:sz w:val="24"/>
          <w:szCs w:val="24"/>
        </w:rPr>
        <w:t>小时之内到达现场予以解决。</w:t>
      </w:r>
    </w:p>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质保期：1年免费质保，产品质量出现问题30天包退包换。</w:t>
      </w:r>
    </w:p>
    <w:p>
      <w:pP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投标人必须承诺在接到</w:t>
      </w:r>
      <w:r>
        <w:rPr>
          <w:rFonts w:hint="eastAsia" w:ascii="宋体" w:hAnsi="宋体" w:eastAsia="宋体" w:cs="宋体"/>
          <w:sz w:val="24"/>
          <w:szCs w:val="24"/>
          <w:lang w:eastAsia="zh-CN"/>
        </w:rPr>
        <w:t>采购人</w:t>
      </w:r>
      <w:r>
        <w:rPr>
          <w:rFonts w:hint="eastAsia" w:ascii="宋体" w:hAnsi="宋体" w:eastAsia="宋体" w:cs="宋体"/>
          <w:sz w:val="24"/>
          <w:szCs w:val="24"/>
        </w:rPr>
        <w:t>通知后，3天内送货到位，</w:t>
      </w:r>
      <w:r>
        <w:rPr>
          <w:rFonts w:hint="eastAsia" w:ascii="宋体" w:hAnsi="宋体" w:eastAsia="宋体" w:cs="宋体"/>
          <w:b/>
          <w:bCs/>
          <w:sz w:val="24"/>
          <w:szCs w:val="24"/>
          <w:u w:val="single"/>
        </w:rPr>
        <w:t>承诺所有投标货物不使用快递送货</w:t>
      </w:r>
      <w:r>
        <w:rPr>
          <w:rFonts w:hint="eastAsia" w:ascii="宋体" w:hAnsi="宋体" w:cs="宋体"/>
          <w:b/>
          <w:bCs/>
          <w:sz w:val="24"/>
          <w:szCs w:val="24"/>
          <w:u w:val="single"/>
          <w:lang w:eastAsia="zh-CN"/>
        </w:rPr>
        <w:t>。</w:t>
      </w:r>
    </w:p>
    <w:p>
      <w:pPr>
        <w:pStyle w:val="2"/>
        <w:spacing w:line="360" w:lineRule="auto"/>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（5）工作内容：包括但不限于采购方单位内部需求采集以及除上述内容外，与本项目密切相关且必不可少的工作内容。</w:t>
      </w:r>
    </w:p>
    <w:p>
      <w:pPr>
        <w:widowControl/>
        <w:jc w:val="left"/>
        <w:rPr>
          <w:color w:val="000000" w:themeColor="text1"/>
          <w:sz w:val="32"/>
          <w14:textFill>
            <w14:solidFill>
              <w14:schemeClr w14:val="tx1"/>
            </w14:solidFill>
          </w14:textFill>
        </w:rPr>
      </w:pPr>
    </w:p>
    <w:p>
      <w:pPr>
        <w:widowControl/>
        <w:jc w:val="left"/>
        <w:rPr>
          <w:color w:val="000000" w:themeColor="text1"/>
          <w:sz w:val="32"/>
          <w14:textFill>
            <w14:solidFill>
              <w14:schemeClr w14:val="tx1"/>
            </w14:solidFill>
          </w14:textFill>
        </w:rPr>
      </w:pPr>
    </w:p>
    <w:p>
      <w:pPr>
        <w:widowControl/>
        <w:jc w:val="left"/>
        <w:rPr>
          <w:color w:val="000000" w:themeColor="text1"/>
          <w:sz w:val="32"/>
          <w14:textFill>
            <w14:solidFill>
              <w14:schemeClr w14:val="tx1"/>
            </w14:solidFill>
          </w14:textFill>
        </w:rPr>
      </w:pPr>
    </w:p>
    <w:p>
      <w:pPr>
        <w:widowControl/>
        <w:jc w:val="left"/>
        <w:rPr>
          <w:color w:val="000000" w:themeColor="text1"/>
          <w:sz w:val="32"/>
          <w14:textFill>
            <w14:solidFill>
              <w14:schemeClr w14:val="tx1"/>
            </w14:solidFill>
          </w14:textFill>
        </w:rPr>
      </w:pPr>
    </w:p>
    <w:p>
      <w:pPr>
        <w:pStyle w:val="2"/>
        <w:rPr>
          <w:color w:val="000000" w:themeColor="text1"/>
          <w:sz w:val="32"/>
          <w14:textFill>
            <w14:solidFill>
              <w14:schemeClr w14:val="tx1"/>
            </w14:solidFill>
          </w14:textFill>
        </w:rPr>
      </w:pPr>
    </w:p>
    <w:p/>
    <w:p>
      <w:pPr>
        <w:widowControl/>
        <w:jc w:val="left"/>
        <w:rPr>
          <w:b/>
          <w:bCs/>
          <w:color w:val="000000" w:themeColor="text1"/>
          <w:kern w:val="44"/>
          <w:sz w:val="32"/>
          <w:szCs w:val="44"/>
          <w14:textFill>
            <w14:solidFill>
              <w14:schemeClr w14:val="tx1"/>
            </w14:solidFill>
          </w14:textFill>
        </w:rPr>
      </w:pPr>
    </w:p>
    <w:p>
      <w:pPr>
        <w:pStyle w:val="2"/>
        <w:rPr>
          <w:b/>
          <w:bCs/>
          <w:color w:val="000000" w:themeColor="text1"/>
          <w:kern w:val="44"/>
          <w:sz w:val="32"/>
          <w:szCs w:val="44"/>
          <w14:textFill>
            <w14:solidFill>
              <w14:schemeClr w14:val="tx1"/>
            </w14:solidFill>
          </w14:textFill>
        </w:rPr>
      </w:pPr>
    </w:p>
    <w:p/>
    <w:p>
      <w:pPr>
        <w:pStyle w:val="53"/>
        <w:spacing w:before="0" w:after="120" w:line="360" w:lineRule="auto"/>
        <w:rPr>
          <w:color w:val="000000" w:themeColor="text1"/>
          <w:sz w:val="32"/>
          <w14:textFill>
            <w14:solidFill>
              <w14:schemeClr w14:val="tx1"/>
            </w14:solidFill>
          </w14:textFill>
        </w:rPr>
      </w:pPr>
      <w:bookmarkStart w:id="81" w:name="_Toc42160950"/>
      <w:r>
        <w:rPr>
          <w:rFonts w:hint="eastAsia"/>
          <w:color w:val="000000" w:themeColor="text1"/>
          <w:sz w:val="32"/>
          <w14:textFill>
            <w14:solidFill>
              <w14:schemeClr w14:val="tx1"/>
            </w14:solidFill>
          </w14:textFill>
        </w:rPr>
        <w:t>第六章  评标方法与评标标准</w:t>
      </w:r>
      <w:bookmarkEnd w:id="81"/>
    </w:p>
    <w:p>
      <w:pPr>
        <w:spacing w:line="440" w:lineRule="exact"/>
        <w:ind w:firstLine="480" w:firstLineChars="200"/>
        <w:jc w:val="left"/>
        <w:rPr>
          <w:rFonts w:hAnsi="宋体" w:cs="宋体"/>
          <w:bCs/>
          <w:color w:val="000000"/>
          <w:szCs w:val="20"/>
        </w:rPr>
      </w:pPr>
    </w:p>
    <w:p>
      <w:pPr>
        <w:spacing w:line="460" w:lineRule="exact"/>
        <w:ind w:firstLine="405"/>
        <w:jc w:val="left"/>
        <w:rPr>
          <w:rFonts w:hint="eastAsia" w:hAnsi="宋体" w:cs="宋体"/>
          <w:bCs/>
          <w:szCs w:val="20"/>
        </w:rPr>
      </w:pPr>
      <w:r>
        <w:rPr>
          <w:rFonts w:hint="eastAsia" w:hAnsi="宋体" w:cs="宋体"/>
          <w:bCs/>
          <w:szCs w:val="20"/>
        </w:rPr>
        <w:t>本次招标采用：</w:t>
      </w:r>
      <w:r>
        <w:rPr>
          <w:rFonts w:hint="eastAsia" w:hAnsi="宋体" w:cs="宋体"/>
          <w:b/>
          <w:bCs/>
          <w:szCs w:val="20"/>
          <w:u w:val="single"/>
        </w:rPr>
        <w:t xml:space="preserve">  综合评分法  </w:t>
      </w:r>
      <w:r>
        <w:rPr>
          <w:rFonts w:hint="eastAsia" w:hAnsi="宋体" w:cs="宋体"/>
          <w:bCs/>
          <w:szCs w:val="20"/>
        </w:rPr>
        <w:t>，设定分值为100分。其中价格评分</w:t>
      </w:r>
      <w:r>
        <w:rPr>
          <w:rFonts w:hint="eastAsia" w:hAnsi="宋体" w:cs="宋体"/>
          <w:bCs/>
          <w:szCs w:val="20"/>
          <w:lang w:val="en-US" w:eastAsia="zh-CN"/>
        </w:rPr>
        <w:t>20</w:t>
      </w:r>
      <w:r>
        <w:rPr>
          <w:rFonts w:hint="eastAsia" w:hAnsi="宋体" w:cs="宋体"/>
          <w:bCs/>
          <w:szCs w:val="20"/>
        </w:rPr>
        <w:t>分，技术评分</w:t>
      </w:r>
      <w:r>
        <w:rPr>
          <w:rFonts w:hint="eastAsia" w:hAnsi="宋体" w:cs="宋体"/>
          <w:bCs/>
          <w:szCs w:val="20"/>
          <w:lang w:val="en-US" w:eastAsia="zh-CN"/>
        </w:rPr>
        <w:t>50</w:t>
      </w:r>
      <w:r>
        <w:rPr>
          <w:rFonts w:hint="eastAsia" w:hAnsi="宋体" w:cs="宋体"/>
          <w:bCs/>
          <w:szCs w:val="20"/>
        </w:rPr>
        <w:t>分，商务评分</w:t>
      </w:r>
      <w:r>
        <w:rPr>
          <w:rFonts w:hint="eastAsia" w:hAnsi="宋体" w:cs="宋体"/>
          <w:bCs/>
          <w:szCs w:val="20"/>
          <w:lang w:val="en-US" w:eastAsia="zh-CN"/>
        </w:rPr>
        <w:t>30</w:t>
      </w:r>
      <w:r>
        <w:rPr>
          <w:rFonts w:hint="eastAsia" w:hAnsi="宋体" w:cs="宋体"/>
          <w:bCs/>
          <w:szCs w:val="20"/>
        </w:rPr>
        <w:t>分。所有专家评分中，综合得分最高者为中标人。</w:t>
      </w:r>
    </w:p>
    <w:p>
      <w:pPr>
        <w:pStyle w:val="45"/>
        <w:ind w:firstLine="0" w:firstLineChars="0"/>
        <w:rPr>
          <w:rFonts w:hAnsi="宋体" w:cs="宋体"/>
          <w:bCs/>
          <w:szCs w:val="20"/>
        </w:rPr>
      </w:pPr>
      <w:r>
        <w:rPr>
          <w:rFonts w:hint="eastAsia" w:ascii="宋体" w:hAnsi="宋体"/>
          <w:szCs w:val="24"/>
          <w:highlight w:val="yellow"/>
        </w:rPr>
        <w:t>评审得分相同的，</w:t>
      </w:r>
      <w:r>
        <w:rPr>
          <w:rFonts w:hint="eastAsia" w:ascii="宋体" w:hAnsi="宋体"/>
          <w:color w:val="0D0D0D"/>
          <w:szCs w:val="24"/>
          <w:highlight w:val="yellow"/>
        </w:rPr>
        <w:t>按最终报价由低到高顺序排列；得分且最终报价相同的，由评标委员会随机抽取确定排序。</w:t>
      </w:r>
    </w:p>
    <w:p>
      <w:pPr>
        <w:pStyle w:val="49"/>
        <w:rPr>
          <w:color w:val="000000" w:themeColor="text1"/>
          <w:highlight w:val="none"/>
          <w14:textFill>
            <w14:solidFill>
              <w14:schemeClr w14:val="tx1"/>
            </w14:solidFill>
          </w14:textFill>
        </w:rPr>
      </w:pPr>
      <w:bookmarkStart w:id="82" w:name="_Toc1371546"/>
      <w:bookmarkStart w:id="83" w:name="_Toc524773224"/>
      <w:bookmarkStart w:id="84" w:name="_Toc530660061"/>
      <w:r>
        <w:rPr>
          <w:rFonts w:hint="eastAsia"/>
          <w:color w:val="000000" w:themeColor="text1"/>
          <w14:textFill>
            <w14:solidFill>
              <w14:schemeClr w14:val="tx1"/>
            </w14:solidFill>
          </w14:textFill>
        </w:rPr>
        <w:t>（一）价格</w:t>
      </w:r>
      <w:r>
        <w:rPr>
          <w:color w:val="000000" w:themeColor="text1"/>
          <w14:textFill>
            <w14:solidFill>
              <w14:schemeClr w14:val="tx1"/>
            </w14:solidFill>
          </w14:textFill>
        </w:rPr>
        <w:t>评分</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0分）</w:t>
      </w:r>
      <w:bookmarkEnd w:id="82"/>
      <w:bookmarkEnd w:id="83"/>
      <w:bookmarkEnd w:id="84"/>
    </w:p>
    <w:tbl>
      <w:tblPr>
        <w:tblStyle w:val="29"/>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8"/>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08" w:type="dxa"/>
            <w:vAlign w:val="center"/>
          </w:tcPr>
          <w:p>
            <w:pPr>
              <w:spacing w:line="440" w:lineRule="exact"/>
              <w:jc w:val="center"/>
              <w:rPr>
                <w:rFonts w:ascii="宋体" w:hAnsi="宋体"/>
                <w:bCs/>
                <w:color w:val="000000" w:themeColor="text1"/>
                <w:szCs w:val="24"/>
                <w:highlight w:val="none"/>
                <w14:textFill>
                  <w14:solidFill>
                    <w14:schemeClr w14:val="tx1"/>
                  </w14:solidFill>
                </w14:textFill>
              </w:rPr>
            </w:pPr>
            <w:r>
              <w:rPr>
                <w:rFonts w:hint="eastAsia" w:ascii="宋体" w:hAnsi="宋体"/>
                <w:b/>
                <w:bCs/>
                <w:color w:val="000000" w:themeColor="text1"/>
                <w:szCs w:val="24"/>
                <w:highlight w:val="none"/>
                <w14:textFill>
                  <w14:solidFill>
                    <w14:schemeClr w14:val="tx1"/>
                  </w14:solidFill>
                </w14:textFill>
              </w:rPr>
              <w:t>评审内容</w:t>
            </w:r>
          </w:p>
        </w:tc>
        <w:tc>
          <w:tcPr>
            <w:tcW w:w="1139" w:type="dxa"/>
            <w:vAlign w:val="center"/>
          </w:tcPr>
          <w:p>
            <w:pPr>
              <w:spacing w:line="440" w:lineRule="exact"/>
              <w:jc w:val="center"/>
              <w:rPr>
                <w:color w:val="000000" w:themeColor="text1"/>
                <w:szCs w:val="24"/>
                <w:highlight w:val="none"/>
                <w14:textFill>
                  <w14:solidFill>
                    <w14:schemeClr w14:val="tx1"/>
                  </w14:solidFill>
                </w14:textFill>
              </w:rPr>
            </w:pPr>
            <w:r>
              <w:rPr>
                <w:rFonts w:hint="eastAsia" w:ascii="宋体" w:hAnsi="宋体"/>
                <w:b/>
                <w:bCs/>
                <w:color w:val="000000" w:themeColor="text1"/>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7508" w:type="dxa"/>
            <w:vAlign w:val="center"/>
          </w:tcPr>
          <w:p>
            <w:pPr>
              <w:pStyle w:val="45"/>
              <w:ind w:firstLine="480"/>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价格分采用低价优先法计算，即满足招标文件要求且投标价格最低的投标报价为评标基准价，其价格分为满分。其他投标人的价格分统一按下列公式计算：</w:t>
            </w:r>
          </w:p>
          <w:p>
            <w:pPr>
              <w:pStyle w:val="45"/>
              <w:ind w:firstLine="480"/>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投标报价得分=（评标基准价/投标报价）×</w:t>
            </w:r>
            <w:r>
              <w:rPr>
                <w:rFonts w:hint="eastAsia"/>
                <w:color w:val="000000" w:themeColor="text1"/>
                <w:szCs w:val="24"/>
                <w:highlight w:val="none"/>
                <w:lang w:val="en-US" w:eastAsia="zh-CN"/>
                <w14:textFill>
                  <w14:solidFill>
                    <w14:schemeClr w14:val="tx1"/>
                  </w14:solidFill>
                </w14:textFill>
              </w:rPr>
              <w:t>20</w:t>
            </w:r>
            <w:r>
              <w:rPr>
                <w:rFonts w:hint="eastAsia"/>
                <w:color w:val="000000" w:themeColor="text1"/>
                <w:szCs w:val="24"/>
                <w:highlight w:val="none"/>
                <w14:textFill>
                  <w14:solidFill>
                    <w14:schemeClr w14:val="tx1"/>
                  </w14:solidFill>
                </w14:textFill>
              </w:rPr>
              <w:t>分</w:t>
            </w:r>
          </w:p>
        </w:tc>
        <w:tc>
          <w:tcPr>
            <w:tcW w:w="1139" w:type="dxa"/>
            <w:vAlign w:val="center"/>
          </w:tcPr>
          <w:p>
            <w:pPr>
              <w:pStyle w:val="45"/>
              <w:ind w:firstLine="240" w:firstLineChars="100"/>
              <w:rPr>
                <w:color w:val="000000" w:themeColor="text1"/>
                <w:szCs w:val="24"/>
                <w:highlight w:val="none"/>
                <w14:textFill>
                  <w14:solidFill>
                    <w14:schemeClr w14:val="tx1"/>
                  </w14:solidFill>
                </w14:textFill>
              </w:rPr>
            </w:pPr>
            <w:r>
              <w:rPr>
                <w:rFonts w:hint="eastAsia"/>
                <w:color w:val="000000" w:themeColor="text1"/>
                <w:szCs w:val="24"/>
                <w:highlight w:val="none"/>
                <w:lang w:val="en-US" w:eastAsia="zh-CN"/>
                <w14:textFill>
                  <w14:solidFill>
                    <w14:schemeClr w14:val="tx1"/>
                  </w14:solidFill>
                </w14:textFill>
              </w:rPr>
              <w:t>20</w:t>
            </w:r>
            <w:r>
              <w:rPr>
                <w:rFonts w:hint="eastAsia"/>
                <w:color w:val="000000" w:themeColor="text1"/>
                <w:szCs w:val="24"/>
                <w:highlight w:val="none"/>
                <w14:textFill>
                  <w14:solidFill>
                    <w14:schemeClr w14:val="tx1"/>
                  </w14:solidFill>
                </w14:textFill>
              </w:rPr>
              <w:t>分</w:t>
            </w:r>
          </w:p>
        </w:tc>
      </w:tr>
    </w:tbl>
    <w:p>
      <w:pPr>
        <w:pStyle w:val="49"/>
        <w:rPr>
          <w:color w:val="000000" w:themeColor="text1"/>
          <w:szCs w:val="24"/>
          <w:highlight w:val="none"/>
          <w14:textFill>
            <w14:solidFill>
              <w14:schemeClr w14:val="tx1"/>
            </w14:solidFill>
          </w14:textFill>
        </w:rPr>
      </w:pPr>
      <w:bookmarkStart w:id="85" w:name="_Toc530660062"/>
      <w:bookmarkStart w:id="86" w:name="_Toc1371547"/>
      <w:r>
        <w:rPr>
          <w:rFonts w:hint="eastAsia"/>
          <w:color w:val="000000" w:themeColor="text1"/>
          <w:szCs w:val="24"/>
          <w:highlight w:val="none"/>
          <w14:textFill>
            <w14:solidFill>
              <w14:schemeClr w14:val="tx1"/>
            </w14:solidFill>
          </w14:textFill>
        </w:rPr>
        <w:t>（二）技术</w:t>
      </w:r>
      <w:r>
        <w:rPr>
          <w:color w:val="000000" w:themeColor="text1"/>
          <w:szCs w:val="24"/>
          <w:highlight w:val="none"/>
          <w14:textFill>
            <w14:solidFill>
              <w14:schemeClr w14:val="tx1"/>
            </w14:solidFill>
          </w14:textFill>
        </w:rPr>
        <w:t>评分</w:t>
      </w:r>
      <w:r>
        <w:rPr>
          <w:rFonts w:hint="eastAsia"/>
          <w:color w:val="000000" w:themeColor="text1"/>
          <w:szCs w:val="24"/>
          <w:highlight w:val="none"/>
          <w14:textFill>
            <w14:solidFill>
              <w14:schemeClr w14:val="tx1"/>
            </w14:solidFill>
          </w14:textFill>
        </w:rPr>
        <w:t>（</w:t>
      </w:r>
      <w:r>
        <w:rPr>
          <w:rFonts w:hint="eastAsia"/>
          <w:color w:val="000000" w:themeColor="text1"/>
          <w:szCs w:val="24"/>
          <w:highlight w:val="none"/>
          <w:lang w:val="en-US" w:eastAsia="zh-CN"/>
          <w14:textFill>
            <w14:solidFill>
              <w14:schemeClr w14:val="tx1"/>
            </w14:solidFill>
          </w14:textFill>
        </w:rPr>
        <w:t>50</w:t>
      </w:r>
      <w:r>
        <w:rPr>
          <w:rFonts w:hint="eastAsia"/>
          <w:color w:val="000000" w:themeColor="text1"/>
          <w:szCs w:val="24"/>
          <w:highlight w:val="none"/>
          <w14:textFill>
            <w14:solidFill>
              <w14:schemeClr w14:val="tx1"/>
            </w14:solidFill>
          </w14:textFill>
        </w:rPr>
        <w:t>分）</w:t>
      </w:r>
      <w:bookmarkEnd w:id="85"/>
      <w:bookmarkEnd w:id="86"/>
    </w:p>
    <w:tbl>
      <w:tblPr>
        <w:tblStyle w:val="29"/>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598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70" w:type="dxa"/>
            <w:vAlign w:val="center"/>
          </w:tcPr>
          <w:p>
            <w:pPr>
              <w:spacing w:line="440" w:lineRule="exact"/>
              <w:jc w:val="center"/>
              <w:rPr>
                <w:rFonts w:ascii="宋体" w:hAnsi="宋体"/>
                <w:bCs/>
                <w:color w:val="000000" w:themeColor="text1"/>
                <w:szCs w:val="24"/>
                <w:highlight w:val="none"/>
                <w14:textFill>
                  <w14:solidFill>
                    <w14:schemeClr w14:val="tx1"/>
                  </w14:solidFill>
                </w14:textFill>
              </w:rPr>
            </w:pPr>
            <w:r>
              <w:rPr>
                <w:rFonts w:hint="eastAsia" w:ascii="宋体" w:hAnsi="宋体"/>
                <w:b/>
                <w:bCs/>
                <w:color w:val="000000" w:themeColor="text1"/>
                <w:szCs w:val="24"/>
                <w:highlight w:val="none"/>
                <w14:textFill>
                  <w14:solidFill>
                    <w14:schemeClr w14:val="tx1"/>
                  </w14:solidFill>
                </w14:textFill>
              </w:rPr>
              <w:t>评审项目</w:t>
            </w:r>
          </w:p>
        </w:tc>
        <w:tc>
          <w:tcPr>
            <w:tcW w:w="5988" w:type="dxa"/>
            <w:vAlign w:val="center"/>
          </w:tcPr>
          <w:p>
            <w:pPr>
              <w:spacing w:line="440" w:lineRule="exact"/>
              <w:jc w:val="center"/>
              <w:rPr>
                <w:rFonts w:ascii="宋体" w:hAnsi="宋体"/>
                <w:b/>
                <w:bCs/>
                <w:color w:val="000000" w:themeColor="text1"/>
                <w:szCs w:val="24"/>
                <w:highlight w:val="none"/>
                <w14:textFill>
                  <w14:solidFill>
                    <w14:schemeClr w14:val="tx1"/>
                  </w14:solidFill>
                </w14:textFill>
              </w:rPr>
            </w:pPr>
            <w:r>
              <w:rPr>
                <w:rFonts w:hint="eastAsia" w:ascii="宋体" w:hAnsi="宋体"/>
                <w:b/>
                <w:bCs/>
                <w:color w:val="000000" w:themeColor="text1"/>
                <w:szCs w:val="24"/>
                <w:highlight w:val="none"/>
                <w14:textFill>
                  <w14:solidFill>
                    <w14:schemeClr w14:val="tx1"/>
                  </w14:solidFill>
                </w14:textFill>
              </w:rPr>
              <w:t>评审内容</w:t>
            </w:r>
          </w:p>
        </w:tc>
        <w:tc>
          <w:tcPr>
            <w:tcW w:w="1192" w:type="dxa"/>
            <w:vAlign w:val="center"/>
          </w:tcPr>
          <w:p>
            <w:pPr>
              <w:spacing w:line="440" w:lineRule="exact"/>
              <w:jc w:val="center"/>
              <w:rPr>
                <w:color w:val="000000" w:themeColor="text1"/>
                <w:szCs w:val="24"/>
                <w:highlight w:val="none"/>
                <w14:textFill>
                  <w14:solidFill>
                    <w14:schemeClr w14:val="tx1"/>
                  </w14:solidFill>
                </w14:textFill>
              </w:rPr>
            </w:pPr>
            <w:r>
              <w:rPr>
                <w:rFonts w:hint="eastAsia" w:ascii="宋体" w:hAnsi="宋体"/>
                <w:b/>
                <w:bCs/>
                <w:color w:val="000000" w:themeColor="text1"/>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57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000000"/>
                <w:kern w:val="0"/>
                <w:sz w:val="24"/>
                <w:szCs w:val="24"/>
                <w:lang w:val="en-US" w:eastAsia="zh-CN" w:bidi="ar"/>
              </w:rPr>
              <w:t>基本项</w:t>
            </w:r>
          </w:p>
        </w:tc>
        <w:tc>
          <w:tcPr>
            <w:tcW w:w="5988" w:type="dxa"/>
            <w:vAlign w:val="center"/>
          </w:tcPr>
          <w:p>
            <w:pPr>
              <w:spacing w:line="360" w:lineRule="exact"/>
              <w:ind w:firstLine="480" w:firstLineChars="200"/>
              <w:rPr>
                <w:rFonts w:hint="eastAsia" w:ascii="宋体" w:hAnsi="宋体" w:eastAsia="宋体" w:cs="宋体"/>
                <w:bCs/>
                <w:szCs w:val="24"/>
                <w:lang w:val="en-US" w:eastAsia="zh-CN"/>
              </w:rPr>
            </w:pPr>
            <w:r>
              <w:rPr>
                <w:rFonts w:hint="eastAsia" w:ascii="宋体" w:hAnsi="宋体" w:cs="宋体"/>
                <w:bCs/>
                <w:szCs w:val="24"/>
                <w:lang w:val="en-US" w:eastAsia="zh-CN"/>
              </w:rPr>
              <w:t>需</w:t>
            </w:r>
            <w:r>
              <w:rPr>
                <w:rFonts w:hint="eastAsia" w:ascii="宋体" w:hAnsi="宋体" w:eastAsia="宋体" w:cs="宋体"/>
                <w:bCs/>
                <w:szCs w:val="24"/>
              </w:rPr>
              <w:t>满足本项目</w:t>
            </w:r>
            <w:r>
              <w:rPr>
                <w:rFonts w:hint="eastAsia" w:ascii="宋体" w:hAnsi="宋体" w:eastAsia="宋体" w:cs="宋体"/>
                <w:bCs/>
                <w:szCs w:val="24"/>
                <w:lang w:val="en-US" w:eastAsia="zh-CN"/>
              </w:rPr>
              <w:t>采购</w:t>
            </w:r>
            <w:r>
              <w:rPr>
                <w:rFonts w:hint="eastAsia" w:ascii="宋体" w:hAnsi="宋体" w:cs="宋体"/>
                <w:bCs/>
                <w:szCs w:val="24"/>
                <w:lang w:val="en-US" w:eastAsia="zh-CN"/>
              </w:rPr>
              <w:t>技术要求</w:t>
            </w:r>
            <w:r>
              <w:rPr>
                <w:rFonts w:hint="eastAsia" w:ascii="宋体" w:hAnsi="宋体" w:eastAsia="宋体" w:cs="宋体"/>
                <w:bCs/>
                <w:szCs w:val="24"/>
              </w:rPr>
              <w:t>，否则</w:t>
            </w:r>
            <w:r>
              <w:rPr>
                <w:rFonts w:hint="eastAsia" w:ascii="宋体" w:hAnsi="宋体" w:cs="宋体"/>
                <w:bCs/>
                <w:szCs w:val="24"/>
                <w:lang w:val="en-US" w:eastAsia="zh-CN"/>
              </w:rPr>
              <w:t>视为无效投标</w:t>
            </w:r>
            <w:r>
              <w:rPr>
                <w:rFonts w:hint="eastAsia" w:ascii="宋体" w:hAnsi="宋体" w:eastAsia="宋体" w:cs="宋体"/>
                <w:bCs/>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szCs w:val="24"/>
              </w:rPr>
              <w:t>（评审依据：投标文件承诺函加盖公章）</w:t>
            </w:r>
          </w:p>
        </w:tc>
        <w:tc>
          <w:tcPr>
            <w:tcW w:w="1192" w:type="dxa"/>
            <w:vAlign w:val="center"/>
          </w:tcPr>
          <w:p>
            <w:pPr>
              <w:widowControl/>
              <w:jc w:val="center"/>
              <w:rPr>
                <w:rFonts w:hint="eastAsia" w:ascii="宋体" w:hAnsi="宋体" w:eastAsia="宋体" w:cstheme="minorBidi"/>
                <w:color w:val="auto"/>
                <w:kern w:val="2"/>
                <w:sz w:val="24"/>
                <w:szCs w:val="24"/>
                <w:lang w:val="en-US" w:eastAsia="zh-CN" w:bidi="ar-SA"/>
              </w:rPr>
            </w:pPr>
            <w:r>
              <w:rPr>
                <w:rFonts w:hint="eastAsia" w:ascii="宋体" w:hAnsi="宋体"/>
                <w:color w:val="auto"/>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1570" w:type="dxa"/>
            <w:vAlign w:val="center"/>
          </w:tcPr>
          <w:p>
            <w:pPr>
              <w:pStyle w:val="45"/>
              <w:ind w:firstLine="0" w:firstLineChars="0"/>
              <w:jc w:val="center"/>
              <w:rPr>
                <w:szCs w:val="24"/>
                <w:highlight w:val="none"/>
              </w:rPr>
            </w:pPr>
            <w:r>
              <w:rPr>
                <w:rFonts w:hint="eastAsia"/>
                <w:szCs w:val="24"/>
                <w:highlight w:val="none"/>
              </w:rPr>
              <w:t>产品</w:t>
            </w:r>
            <w:r>
              <w:rPr>
                <w:szCs w:val="24"/>
                <w:highlight w:val="none"/>
              </w:rPr>
              <w:t>质量</w:t>
            </w:r>
          </w:p>
          <w:p>
            <w:pPr>
              <w:pStyle w:val="45"/>
              <w:ind w:firstLine="0" w:firstLineChars="0"/>
              <w:jc w:val="center"/>
              <w:rPr>
                <w:szCs w:val="24"/>
                <w:highlight w:val="none"/>
              </w:rPr>
            </w:pPr>
            <w:r>
              <w:rPr>
                <w:szCs w:val="24"/>
                <w:highlight w:val="none"/>
              </w:rPr>
              <w:t>（</w:t>
            </w:r>
            <w:r>
              <w:rPr>
                <w:rFonts w:hint="eastAsia"/>
                <w:szCs w:val="24"/>
                <w:highlight w:val="none"/>
                <w:lang w:val="en-US" w:eastAsia="zh-CN"/>
              </w:rPr>
              <w:t>20</w:t>
            </w:r>
            <w:r>
              <w:rPr>
                <w:rFonts w:hint="eastAsia"/>
                <w:szCs w:val="24"/>
                <w:highlight w:val="none"/>
              </w:rPr>
              <w:t>分</w:t>
            </w:r>
            <w:r>
              <w:rPr>
                <w:szCs w:val="24"/>
                <w:highlight w:val="none"/>
              </w:rPr>
              <w:t>）</w:t>
            </w:r>
          </w:p>
        </w:tc>
        <w:tc>
          <w:tcPr>
            <w:tcW w:w="5988" w:type="dxa"/>
            <w:vAlign w:val="center"/>
          </w:tcPr>
          <w:p>
            <w:pPr>
              <w:ind w:firstLine="480" w:firstLineChars="200"/>
              <w:jc w:val="left"/>
              <w:rPr>
                <w:rFonts w:ascii="宋体" w:hAnsi="宋体"/>
                <w:bCs/>
                <w:szCs w:val="24"/>
                <w:highlight w:val="none"/>
              </w:rPr>
            </w:pPr>
            <w:r>
              <w:rPr>
                <w:rFonts w:hint="eastAsia" w:ascii="宋体" w:hAnsi="宋体"/>
                <w:bCs/>
                <w:szCs w:val="24"/>
                <w:highlight w:val="none"/>
              </w:rPr>
              <w:t>评标小组根据投标文件及</w:t>
            </w:r>
            <w:r>
              <w:rPr>
                <w:rFonts w:ascii="宋体" w:hAnsi="宋体"/>
                <w:bCs/>
                <w:szCs w:val="24"/>
                <w:highlight w:val="none"/>
              </w:rPr>
              <w:t>现场</w:t>
            </w:r>
            <w:r>
              <w:rPr>
                <w:rFonts w:hint="eastAsia" w:ascii="宋体" w:hAnsi="宋体"/>
                <w:bCs/>
                <w:szCs w:val="24"/>
                <w:highlight w:val="none"/>
              </w:rPr>
              <w:t>样品，对</w:t>
            </w:r>
            <w:r>
              <w:rPr>
                <w:rFonts w:ascii="宋体" w:hAnsi="宋体"/>
                <w:bCs/>
                <w:szCs w:val="24"/>
                <w:highlight w:val="none"/>
              </w:rPr>
              <w:t>产品质量</w:t>
            </w:r>
            <w:r>
              <w:rPr>
                <w:rFonts w:hint="eastAsia" w:ascii="宋体" w:hAnsi="宋体"/>
                <w:bCs/>
                <w:szCs w:val="24"/>
                <w:highlight w:val="none"/>
              </w:rPr>
              <w:t>按</w:t>
            </w:r>
            <w:r>
              <w:rPr>
                <w:rFonts w:ascii="宋体" w:hAnsi="宋体"/>
                <w:bCs/>
                <w:szCs w:val="24"/>
                <w:highlight w:val="none"/>
              </w:rPr>
              <w:t>如下</w:t>
            </w:r>
            <w:r>
              <w:rPr>
                <w:rFonts w:hint="eastAsia" w:ascii="宋体" w:hAnsi="宋体"/>
                <w:bCs/>
                <w:szCs w:val="24"/>
                <w:highlight w:val="none"/>
              </w:rPr>
              <w:t>标准进行综合评分</w:t>
            </w:r>
            <w:r>
              <w:rPr>
                <w:rFonts w:ascii="宋体" w:hAnsi="宋体"/>
                <w:bCs/>
                <w:szCs w:val="24"/>
                <w:highlight w:val="none"/>
              </w:rPr>
              <w:t>：</w:t>
            </w:r>
            <w:r>
              <w:rPr>
                <w:rFonts w:hint="eastAsia" w:ascii="宋体" w:hAnsi="宋体" w:eastAsia="宋体" w:cs="宋体"/>
                <w:bCs/>
                <w:szCs w:val="24"/>
                <w:highlight w:val="none"/>
              </w:rPr>
              <w:t>优秀得</w:t>
            </w:r>
            <w:r>
              <w:rPr>
                <w:rFonts w:hint="eastAsia" w:ascii="宋体" w:hAnsi="宋体" w:cs="宋体"/>
                <w:bCs/>
                <w:szCs w:val="24"/>
                <w:highlight w:val="none"/>
                <w:lang w:val="en-US" w:eastAsia="zh-CN"/>
              </w:rPr>
              <w:t>15-20</w:t>
            </w:r>
            <w:r>
              <w:rPr>
                <w:rFonts w:hint="eastAsia" w:ascii="宋体" w:hAnsi="宋体" w:eastAsia="宋体" w:cs="宋体"/>
                <w:bCs/>
                <w:szCs w:val="24"/>
                <w:highlight w:val="none"/>
              </w:rPr>
              <w:t>分；良好得</w:t>
            </w:r>
            <w:r>
              <w:rPr>
                <w:rFonts w:hint="eastAsia" w:ascii="宋体" w:hAnsi="宋体" w:cs="宋体"/>
                <w:bCs/>
                <w:szCs w:val="24"/>
                <w:highlight w:val="none"/>
                <w:lang w:val="en-US" w:eastAsia="zh-CN"/>
              </w:rPr>
              <w:t>8-14</w:t>
            </w:r>
            <w:r>
              <w:rPr>
                <w:rFonts w:hint="eastAsia" w:ascii="宋体" w:hAnsi="宋体" w:eastAsia="宋体" w:cs="宋体"/>
                <w:bCs/>
                <w:szCs w:val="24"/>
                <w:highlight w:val="none"/>
              </w:rPr>
              <w:t>分；一般</w:t>
            </w:r>
            <w:r>
              <w:rPr>
                <w:rFonts w:hint="eastAsia" w:ascii="宋体" w:hAnsi="宋体" w:cs="宋体"/>
                <w:bCs/>
                <w:szCs w:val="24"/>
                <w:highlight w:val="none"/>
                <w:lang w:val="en-US" w:eastAsia="zh-CN"/>
              </w:rPr>
              <w:t>1</w:t>
            </w:r>
            <w:r>
              <w:rPr>
                <w:rFonts w:hint="eastAsia" w:ascii="宋体" w:hAnsi="宋体" w:eastAsia="宋体" w:cs="宋体"/>
                <w:bCs/>
                <w:szCs w:val="24"/>
                <w:highlight w:val="none"/>
              </w:rPr>
              <w:t>-</w:t>
            </w:r>
            <w:r>
              <w:rPr>
                <w:rFonts w:hint="eastAsia" w:ascii="宋体" w:hAnsi="宋体" w:cs="宋体"/>
                <w:bCs/>
                <w:szCs w:val="24"/>
                <w:highlight w:val="none"/>
                <w:lang w:val="en-US" w:eastAsia="zh-CN"/>
              </w:rPr>
              <w:t>7</w:t>
            </w:r>
            <w:r>
              <w:rPr>
                <w:rFonts w:hint="eastAsia" w:ascii="宋体" w:hAnsi="宋体" w:eastAsia="宋体" w:cs="宋体"/>
                <w:bCs/>
                <w:szCs w:val="24"/>
                <w:highlight w:val="none"/>
              </w:rPr>
              <w:t>分</w:t>
            </w:r>
            <w:r>
              <w:rPr>
                <w:rFonts w:hint="eastAsia" w:ascii="宋体" w:hAnsi="宋体" w:cs="宋体"/>
                <w:bCs/>
                <w:szCs w:val="24"/>
                <w:highlight w:val="none"/>
                <w:lang w:eastAsia="zh-CN"/>
              </w:rPr>
              <w:t>，</w:t>
            </w:r>
            <w:r>
              <w:rPr>
                <w:rFonts w:hint="eastAsia" w:ascii="宋体" w:hAnsi="宋体" w:cs="宋体"/>
                <w:bCs/>
                <w:szCs w:val="24"/>
                <w:highlight w:val="none"/>
                <w:lang w:val="en-US" w:eastAsia="zh-CN"/>
              </w:rPr>
              <w:t>不提供不得分</w:t>
            </w:r>
            <w:r>
              <w:rPr>
                <w:rFonts w:hint="eastAsia" w:ascii="宋体" w:hAnsi="宋体"/>
                <w:bCs/>
                <w:szCs w:val="24"/>
                <w:highlight w:val="none"/>
              </w:rPr>
              <w:t>。</w:t>
            </w:r>
          </w:p>
          <w:p>
            <w:pPr>
              <w:ind w:left="241" w:hanging="240" w:hangingChars="100"/>
              <w:jc w:val="left"/>
              <w:rPr>
                <w:rFonts w:ascii="宋体" w:hAnsi="宋体"/>
                <w:bCs/>
                <w:szCs w:val="24"/>
                <w:highlight w:val="none"/>
              </w:rPr>
            </w:pPr>
            <w:r>
              <w:rPr>
                <w:rFonts w:hint="eastAsia" w:ascii="宋体" w:hAnsi="宋体"/>
                <w:b/>
                <w:bCs/>
                <w:szCs w:val="24"/>
                <w:highlight w:val="none"/>
              </w:rPr>
              <w:t>（评审依据</w:t>
            </w:r>
            <w:r>
              <w:rPr>
                <w:rFonts w:ascii="宋体" w:hAnsi="宋体"/>
                <w:b/>
                <w:bCs/>
                <w:szCs w:val="24"/>
                <w:highlight w:val="none"/>
              </w:rPr>
              <w:t>：</w:t>
            </w:r>
            <w:r>
              <w:rPr>
                <w:rFonts w:hint="eastAsia" w:ascii="宋体" w:hAnsi="宋体"/>
                <w:b/>
                <w:bCs/>
                <w:szCs w:val="24"/>
                <w:highlight w:val="none"/>
                <w:lang w:eastAsia="zh-CN"/>
              </w:rPr>
              <w:t>采购清单内所含全部</w:t>
            </w:r>
            <w:r>
              <w:rPr>
                <w:rFonts w:hint="eastAsia" w:ascii="宋体" w:hAnsi="宋体"/>
                <w:b/>
                <w:bCs/>
                <w:szCs w:val="24"/>
                <w:highlight w:val="none"/>
              </w:rPr>
              <w:t>样品）</w:t>
            </w:r>
          </w:p>
        </w:tc>
        <w:tc>
          <w:tcPr>
            <w:tcW w:w="1192" w:type="dxa"/>
            <w:vAlign w:val="center"/>
          </w:tcPr>
          <w:p>
            <w:pPr>
              <w:jc w:val="center"/>
              <w:rPr>
                <w:szCs w:val="24"/>
                <w:highlight w:val="none"/>
              </w:rPr>
            </w:pPr>
            <w:r>
              <w:rPr>
                <w:szCs w:val="24"/>
                <w:highlight w:val="none"/>
              </w:rPr>
              <w:t>20</w:t>
            </w:r>
            <w:r>
              <w:rPr>
                <w:rFonts w:hint="eastAsia" w:ascii="宋体" w:hAnsi="宋体"/>
                <w:bCs/>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70" w:type="dxa"/>
            <w:vAlign w:val="center"/>
          </w:tcPr>
          <w:p>
            <w:pPr>
              <w:pStyle w:val="45"/>
              <w:ind w:firstLine="0" w:firstLineChars="0"/>
              <w:jc w:val="center"/>
              <w:rPr>
                <w:szCs w:val="24"/>
                <w:highlight w:val="none"/>
              </w:rPr>
            </w:pPr>
            <w:r>
              <w:rPr>
                <w:rFonts w:hint="eastAsia"/>
                <w:szCs w:val="24"/>
                <w:highlight w:val="none"/>
              </w:rPr>
              <w:t>产品安全性</w:t>
            </w:r>
          </w:p>
          <w:p>
            <w:pPr>
              <w:pStyle w:val="45"/>
              <w:ind w:firstLine="0" w:firstLineChars="0"/>
              <w:jc w:val="center"/>
              <w:rPr>
                <w:szCs w:val="24"/>
                <w:highlight w:val="none"/>
              </w:rPr>
            </w:pPr>
            <w:r>
              <w:rPr>
                <w:rFonts w:hint="eastAsia"/>
                <w:szCs w:val="24"/>
                <w:highlight w:val="none"/>
              </w:rPr>
              <w:t>（</w:t>
            </w:r>
            <w:r>
              <w:rPr>
                <w:rFonts w:hint="eastAsia"/>
                <w:szCs w:val="24"/>
                <w:highlight w:val="none"/>
                <w:lang w:val="en-US" w:eastAsia="zh-CN"/>
              </w:rPr>
              <w:t>20</w:t>
            </w:r>
            <w:r>
              <w:rPr>
                <w:rFonts w:hint="eastAsia"/>
                <w:szCs w:val="24"/>
                <w:highlight w:val="none"/>
              </w:rPr>
              <w:t>分）</w:t>
            </w:r>
          </w:p>
        </w:tc>
        <w:tc>
          <w:tcPr>
            <w:tcW w:w="5988" w:type="dxa"/>
            <w:vAlign w:val="center"/>
          </w:tcPr>
          <w:p>
            <w:pPr>
              <w:spacing w:line="360" w:lineRule="exact"/>
              <w:rPr>
                <w:rFonts w:hint="eastAsia" w:ascii="宋体" w:hAnsi="宋体"/>
                <w:bCs/>
                <w:szCs w:val="24"/>
                <w:highlight w:val="none"/>
                <w:lang w:eastAsia="zh-CN"/>
              </w:rPr>
            </w:pPr>
            <w:r>
              <w:rPr>
                <w:rFonts w:hint="eastAsia" w:ascii="宋体" w:hAnsi="宋体"/>
                <w:bCs/>
                <w:szCs w:val="24"/>
                <w:highlight w:val="none"/>
                <w:lang w:val="en-US" w:eastAsia="zh-CN"/>
              </w:rPr>
              <w:t>所提供产品符合以下标准，有一个加10分，本项最多得20分</w:t>
            </w:r>
            <w:r>
              <w:rPr>
                <w:rFonts w:hint="eastAsia" w:ascii="宋体" w:hAnsi="宋体"/>
                <w:bCs/>
                <w:szCs w:val="24"/>
                <w:highlight w:val="none"/>
              </w:rPr>
              <w:t>：</w:t>
            </w:r>
            <w:r>
              <w:rPr>
                <w:rFonts w:hint="eastAsia" w:ascii="宋体" w:hAnsi="宋体"/>
                <w:bCs/>
                <w:szCs w:val="24"/>
                <w:highlight w:val="none"/>
                <w:lang w:eastAsia="zh-CN"/>
              </w:rPr>
              <w:t>、</w:t>
            </w:r>
          </w:p>
          <w:p>
            <w:pPr>
              <w:pStyle w:val="2"/>
              <w:numPr>
                <w:ilvl w:val="0"/>
                <w:numId w:val="3"/>
              </w:numPr>
              <w:rPr>
                <w:rFonts w:hint="eastAsia" w:ascii="宋体" w:hAnsi="宋体"/>
                <w:bCs/>
                <w:szCs w:val="24"/>
                <w:highlight w:val="none"/>
                <w:lang w:val="en-US" w:eastAsia="zh-CN"/>
              </w:rPr>
            </w:pPr>
            <w:r>
              <w:rPr>
                <w:rFonts w:hint="eastAsia" w:ascii="宋体" w:hAnsi="宋体"/>
                <w:bCs/>
                <w:szCs w:val="24"/>
                <w:highlight w:val="none"/>
                <w:lang w:val="en-US" w:eastAsia="zh-CN"/>
              </w:rPr>
              <w:t>皮肤刺激反应强度：无刺激</w:t>
            </w:r>
          </w:p>
          <w:p>
            <w:pPr>
              <w:numPr>
                <w:ilvl w:val="0"/>
                <w:numId w:val="3"/>
              </w:numPr>
              <w:rPr>
                <w:rFonts w:hint="default"/>
                <w:highlight w:val="none"/>
                <w:lang w:val="en-US" w:eastAsia="zh-CN"/>
              </w:rPr>
            </w:pPr>
            <w:r>
              <w:rPr>
                <w:rFonts w:hint="eastAsia"/>
                <w:highlight w:val="none"/>
                <w:lang w:val="en-US" w:eastAsia="zh-CN"/>
              </w:rPr>
              <w:t>皮肤迟发性超敏反应：无致敏反应</w:t>
            </w:r>
          </w:p>
          <w:p>
            <w:pPr>
              <w:spacing w:line="360" w:lineRule="exact"/>
              <w:rPr>
                <w:rFonts w:ascii="宋体" w:hAnsi="宋体"/>
                <w:b/>
                <w:bCs/>
                <w:szCs w:val="24"/>
                <w:highlight w:val="none"/>
              </w:rPr>
            </w:pPr>
            <w:r>
              <w:rPr>
                <w:rFonts w:hint="eastAsia"/>
                <w:b/>
                <w:highlight w:val="none"/>
              </w:rPr>
              <w:t>（</w:t>
            </w:r>
            <w:r>
              <w:rPr>
                <w:rFonts w:hint="eastAsia" w:ascii="宋体" w:hAnsi="宋体"/>
                <w:b/>
                <w:bCs/>
                <w:szCs w:val="24"/>
                <w:highlight w:val="none"/>
              </w:rPr>
              <w:t>评审依据</w:t>
            </w:r>
            <w:r>
              <w:rPr>
                <w:rFonts w:hint="eastAsia" w:ascii="宋体" w:hAnsi="宋体"/>
                <w:b/>
                <w:bCs/>
                <w:szCs w:val="24"/>
                <w:highlight w:val="none"/>
                <w:lang w:eastAsia="zh-CN"/>
              </w:rPr>
              <w:t>：</w:t>
            </w:r>
            <w:r>
              <w:rPr>
                <w:rFonts w:hint="eastAsia" w:ascii="宋体" w:hAnsi="宋体"/>
                <w:b/>
                <w:bCs/>
                <w:szCs w:val="24"/>
                <w:highlight w:val="none"/>
              </w:rPr>
              <w:t>提供国家认可的第三方检测机构出具的</w:t>
            </w:r>
            <w:r>
              <w:rPr>
                <w:rFonts w:hint="eastAsia" w:ascii="宋体" w:hAnsi="宋体"/>
                <w:b/>
                <w:bCs/>
                <w:szCs w:val="24"/>
                <w:highlight w:val="none"/>
                <w:lang w:val="en-US" w:eastAsia="zh-CN"/>
              </w:rPr>
              <w:t>具有CMA或CNAS</w:t>
            </w:r>
            <w:r>
              <w:rPr>
                <w:rFonts w:hint="eastAsia" w:ascii="宋体" w:hAnsi="宋体"/>
                <w:b/>
                <w:bCs/>
                <w:szCs w:val="24"/>
                <w:highlight w:val="none"/>
              </w:rPr>
              <w:t>检测报告扫描件加盖公章，未提供不得分。</w:t>
            </w:r>
            <w:r>
              <w:rPr>
                <w:rFonts w:hint="eastAsia"/>
                <w:b/>
                <w:highlight w:val="none"/>
              </w:rPr>
              <w:t>）</w:t>
            </w:r>
          </w:p>
        </w:tc>
        <w:tc>
          <w:tcPr>
            <w:tcW w:w="1192" w:type="dxa"/>
            <w:vAlign w:val="center"/>
          </w:tcPr>
          <w:p>
            <w:pPr>
              <w:jc w:val="center"/>
              <w:rPr>
                <w:szCs w:val="24"/>
                <w:highlight w:val="none"/>
              </w:rPr>
            </w:pPr>
            <w:r>
              <w:rPr>
                <w:rFonts w:hint="eastAsia"/>
                <w:szCs w:val="24"/>
                <w:highlight w:val="none"/>
                <w:lang w:val="en-US" w:eastAsia="zh-CN"/>
              </w:rPr>
              <w:t>20</w:t>
            </w:r>
            <w:r>
              <w:rPr>
                <w:rFonts w:hint="eastAsia"/>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70" w:type="dxa"/>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bookmarkStart w:id="87" w:name="_Toc1373009"/>
            <w:bookmarkStart w:id="88" w:name="_Toc533167100"/>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服务方案</w:t>
            </w:r>
          </w:p>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（10分）</w:t>
            </w:r>
          </w:p>
        </w:tc>
        <w:tc>
          <w:tcPr>
            <w:tcW w:w="5988" w:type="dxa"/>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方案需包括</w:t>
            </w:r>
            <w:r>
              <w:rPr>
                <w:rFonts w:hint="eastAsia" w:asciiTheme="minorEastAsia" w:hAnsiTheme="minorEastAsia" w:eastAsiaTheme="minorEastAsia" w:cstheme="minorEastAsia"/>
                <w:b/>
                <w:bCs/>
                <w:i w:val="0"/>
                <w:iCs w:val="0"/>
                <w:color w:val="000000"/>
                <w:kern w:val="0"/>
                <w:sz w:val="24"/>
                <w:szCs w:val="24"/>
                <w:highlight w:val="none"/>
                <w:u w:val="single"/>
                <w:lang w:val="en-US" w:eastAsia="zh-CN" w:bidi="ar"/>
              </w:rPr>
              <w:t>（1）服务内容、（2）</w:t>
            </w:r>
            <w:r>
              <w:rPr>
                <w:rFonts w:hint="eastAsia" w:ascii="宋体" w:hAnsi="宋体"/>
                <w:b/>
                <w:bCs/>
                <w:szCs w:val="24"/>
                <w:highlight w:val="none"/>
                <w:u w:val="single"/>
              </w:rPr>
              <w:t>组织架构图</w:t>
            </w:r>
            <w:r>
              <w:rPr>
                <w:rFonts w:hint="eastAsia" w:ascii="宋体" w:hAnsi="宋体"/>
                <w:b/>
                <w:bCs/>
                <w:szCs w:val="24"/>
                <w:highlight w:val="none"/>
                <w:u w:val="single"/>
                <w:lang w:eastAsia="zh-CN"/>
              </w:rPr>
              <w:t>、（</w:t>
            </w:r>
            <w:r>
              <w:rPr>
                <w:rFonts w:hint="eastAsia" w:ascii="宋体" w:hAnsi="宋体"/>
                <w:b/>
                <w:bCs/>
                <w:szCs w:val="24"/>
                <w:highlight w:val="none"/>
                <w:u w:val="single"/>
                <w:lang w:val="en-US" w:eastAsia="zh-CN"/>
              </w:rPr>
              <w:t>3</w:t>
            </w:r>
            <w:r>
              <w:rPr>
                <w:rFonts w:hint="eastAsia" w:ascii="宋体" w:hAnsi="宋体"/>
                <w:b/>
                <w:bCs/>
                <w:szCs w:val="24"/>
                <w:highlight w:val="none"/>
                <w:u w:val="single"/>
                <w:lang w:eastAsia="zh-CN"/>
              </w:rPr>
              <w:t>）</w:t>
            </w:r>
            <w:r>
              <w:rPr>
                <w:rFonts w:hint="eastAsia" w:asciiTheme="minorEastAsia" w:hAnsiTheme="minorEastAsia" w:eastAsiaTheme="minorEastAsia" w:cstheme="minorEastAsia"/>
                <w:b/>
                <w:bCs/>
                <w:i w:val="0"/>
                <w:iCs w:val="0"/>
                <w:color w:val="000000"/>
                <w:kern w:val="0"/>
                <w:sz w:val="24"/>
                <w:szCs w:val="24"/>
                <w:highlight w:val="none"/>
                <w:u w:val="single"/>
                <w:lang w:val="en-US" w:eastAsia="zh-CN" w:bidi="ar"/>
              </w:rPr>
              <w:t>管理办法、（4）服务实施计划，（5）服务质量考评制度</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等</w:t>
            </w:r>
            <w:r>
              <w:rPr>
                <w:rFonts w:hint="eastAsia" w:ascii="宋体" w:hAnsi="宋体"/>
                <w:bCs/>
                <w:szCs w:val="24"/>
                <w:highlight w:val="none"/>
                <w:lang w:eastAsia="zh-CN"/>
              </w:rPr>
              <w:t>，每</w:t>
            </w:r>
            <w:r>
              <w:rPr>
                <w:rFonts w:hint="eastAsia" w:ascii="宋体" w:hAnsi="宋体"/>
                <w:bCs/>
                <w:szCs w:val="24"/>
                <w:highlight w:val="none"/>
                <w:lang w:val="en-US" w:eastAsia="zh-CN"/>
              </w:rPr>
              <w:t>有一项得2分，最多得10分</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宋体" w:hAnsi="宋体"/>
                <w:b/>
                <w:bCs/>
                <w:szCs w:val="24"/>
                <w:highlight w:val="none"/>
              </w:rPr>
              <w:t>（评审依据：提供</w:t>
            </w:r>
            <w:r>
              <w:rPr>
                <w:rFonts w:ascii="宋体" w:hAnsi="宋体"/>
                <w:b/>
                <w:bCs/>
                <w:szCs w:val="24"/>
                <w:highlight w:val="none"/>
              </w:rPr>
              <w:t>服务方案加盖投标人公章</w:t>
            </w:r>
            <w:r>
              <w:rPr>
                <w:rFonts w:hint="eastAsia" w:ascii="宋体" w:hAnsi="宋体"/>
                <w:b/>
                <w:bCs/>
                <w:szCs w:val="24"/>
                <w:highlight w:val="none"/>
              </w:rPr>
              <w:t>）</w:t>
            </w:r>
          </w:p>
        </w:tc>
        <w:tc>
          <w:tcPr>
            <w:tcW w:w="1192" w:type="dxa"/>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10分</w:t>
            </w:r>
          </w:p>
        </w:tc>
      </w:tr>
    </w:tbl>
    <w:p>
      <w:pPr>
        <w:pStyle w:val="49"/>
        <w:rPr>
          <w:szCs w:val="24"/>
          <w:highlight w:val="none"/>
        </w:rPr>
      </w:pPr>
      <w:r>
        <w:rPr>
          <w:rFonts w:hint="eastAsia"/>
          <w:szCs w:val="24"/>
          <w:highlight w:val="none"/>
        </w:rPr>
        <w:t>（三）商务</w:t>
      </w:r>
      <w:r>
        <w:rPr>
          <w:szCs w:val="24"/>
          <w:highlight w:val="none"/>
        </w:rPr>
        <w:t>评分</w:t>
      </w:r>
      <w:r>
        <w:rPr>
          <w:rFonts w:hint="eastAsia"/>
          <w:szCs w:val="24"/>
          <w:highlight w:val="none"/>
        </w:rPr>
        <w:t>（</w:t>
      </w:r>
      <w:r>
        <w:rPr>
          <w:rFonts w:hint="eastAsia"/>
          <w:szCs w:val="24"/>
          <w:highlight w:val="none"/>
          <w:lang w:val="en-US" w:eastAsia="zh-CN"/>
        </w:rPr>
        <w:t>30</w:t>
      </w:r>
      <w:r>
        <w:rPr>
          <w:rFonts w:hint="eastAsia"/>
          <w:szCs w:val="24"/>
          <w:highlight w:val="none"/>
        </w:rPr>
        <w:t>分）</w:t>
      </w:r>
      <w:bookmarkEnd w:id="87"/>
      <w:bookmarkEnd w:id="88"/>
    </w:p>
    <w:tbl>
      <w:tblPr>
        <w:tblStyle w:val="29"/>
        <w:tblW w:w="49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598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4"/>
                <w:highlight w:val="none"/>
              </w:rPr>
            </w:pPr>
            <w:r>
              <w:rPr>
                <w:rFonts w:hint="eastAsia" w:ascii="宋体" w:hAnsi="宋体"/>
                <w:b/>
                <w:szCs w:val="24"/>
                <w:highlight w:val="none"/>
              </w:rPr>
              <w:t>评审项目</w:t>
            </w:r>
          </w:p>
        </w:tc>
        <w:tc>
          <w:tcPr>
            <w:tcW w:w="342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4"/>
                <w:highlight w:val="none"/>
              </w:rPr>
            </w:pPr>
            <w:r>
              <w:rPr>
                <w:rFonts w:hint="eastAsia" w:ascii="宋体" w:hAnsi="宋体"/>
                <w:b/>
                <w:szCs w:val="24"/>
                <w:highlight w:val="none"/>
              </w:rPr>
              <w:t>评审内容</w:t>
            </w:r>
          </w:p>
        </w:tc>
        <w:tc>
          <w:tcPr>
            <w:tcW w:w="8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4"/>
                <w:highlight w:val="none"/>
              </w:rPr>
            </w:pPr>
            <w:r>
              <w:rPr>
                <w:rFonts w:hint="eastAsia" w:ascii="宋体" w:hAnsi="宋体"/>
                <w:b/>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2" w:type="pct"/>
            <w:tcBorders>
              <w:top w:val="single" w:color="auto" w:sz="4" w:space="0"/>
              <w:left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000000"/>
                <w:kern w:val="0"/>
                <w:sz w:val="24"/>
                <w:szCs w:val="24"/>
                <w:lang w:val="en-US" w:eastAsia="zh-CN" w:bidi="ar"/>
              </w:rPr>
              <w:t>基本项</w:t>
            </w:r>
          </w:p>
        </w:tc>
        <w:tc>
          <w:tcPr>
            <w:tcW w:w="3424" w:type="pct"/>
            <w:tcBorders>
              <w:top w:val="single" w:color="auto" w:sz="4" w:space="0"/>
              <w:left w:val="single" w:color="auto" w:sz="4" w:space="0"/>
              <w:right w:val="single" w:color="auto" w:sz="4" w:space="0"/>
            </w:tcBorders>
            <w:vAlign w:val="center"/>
          </w:tcPr>
          <w:p>
            <w:pPr>
              <w:spacing w:line="360" w:lineRule="exact"/>
              <w:ind w:firstLine="480" w:firstLineChars="200"/>
              <w:rPr>
                <w:rFonts w:hint="eastAsia" w:ascii="宋体" w:hAnsi="宋体" w:eastAsia="宋体" w:cs="宋体"/>
                <w:bCs/>
                <w:szCs w:val="24"/>
                <w:lang w:val="en-US" w:eastAsia="zh-CN"/>
              </w:rPr>
            </w:pPr>
            <w:r>
              <w:rPr>
                <w:rFonts w:hint="eastAsia" w:ascii="宋体" w:hAnsi="宋体" w:cs="宋体"/>
                <w:bCs/>
                <w:szCs w:val="24"/>
                <w:lang w:val="en-US" w:eastAsia="zh-CN"/>
              </w:rPr>
              <w:t>需</w:t>
            </w:r>
            <w:r>
              <w:rPr>
                <w:rFonts w:hint="eastAsia" w:ascii="宋体" w:hAnsi="宋体" w:eastAsia="宋体" w:cs="宋体"/>
                <w:bCs/>
                <w:szCs w:val="24"/>
              </w:rPr>
              <w:t>满足本项目</w:t>
            </w:r>
            <w:r>
              <w:rPr>
                <w:rFonts w:hint="eastAsia" w:ascii="宋体" w:hAnsi="宋体" w:eastAsia="宋体" w:cs="宋体"/>
                <w:bCs/>
                <w:szCs w:val="24"/>
                <w:lang w:val="en-US" w:eastAsia="zh-CN"/>
              </w:rPr>
              <w:t>采购</w:t>
            </w:r>
            <w:r>
              <w:rPr>
                <w:rFonts w:hint="eastAsia" w:ascii="宋体" w:hAnsi="宋体" w:cs="宋体"/>
                <w:bCs/>
                <w:szCs w:val="24"/>
                <w:lang w:val="en-US" w:eastAsia="zh-CN"/>
              </w:rPr>
              <w:t>商务条件</w:t>
            </w:r>
            <w:r>
              <w:rPr>
                <w:rFonts w:hint="eastAsia" w:ascii="宋体" w:hAnsi="宋体" w:eastAsia="宋体" w:cs="宋体"/>
                <w:bCs/>
                <w:szCs w:val="24"/>
              </w:rPr>
              <w:t>，否则</w:t>
            </w:r>
            <w:r>
              <w:rPr>
                <w:rFonts w:hint="eastAsia" w:ascii="宋体" w:hAnsi="宋体" w:cs="宋体"/>
                <w:bCs/>
                <w:szCs w:val="24"/>
                <w:lang w:val="en-US" w:eastAsia="zh-CN"/>
              </w:rPr>
              <w:t>视为无效投标</w:t>
            </w:r>
            <w:r>
              <w:rPr>
                <w:rFonts w:hint="eastAsia" w:ascii="宋体" w:hAnsi="宋体" w:eastAsia="宋体" w:cs="宋体"/>
                <w:bCs/>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szCs w:val="24"/>
              </w:rPr>
              <w:t>（评审依据：投标文件承诺函加盖公章）</w:t>
            </w:r>
          </w:p>
        </w:tc>
        <w:tc>
          <w:tcPr>
            <w:tcW w:w="833" w:type="pc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theme="minorBidi"/>
                <w:color w:val="auto"/>
                <w:kern w:val="2"/>
                <w:sz w:val="24"/>
                <w:szCs w:val="24"/>
                <w:lang w:val="en-US" w:eastAsia="zh-CN" w:bidi="ar-SA"/>
              </w:rPr>
            </w:pPr>
            <w:r>
              <w:rPr>
                <w:rFonts w:hint="eastAsia" w:ascii="宋体" w:hAnsi="宋体"/>
                <w:color w:val="auto"/>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742" w:type="pct"/>
            <w:tcBorders>
              <w:top w:val="single" w:color="auto" w:sz="4" w:space="0"/>
              <w:left w:val="single" w:color="auto" w:sz="4" w:space="0"/>
              <w:right w:val="single" w:color="auto" w:sz="4" w:space="0"/>
            </w:tcBorders>
            <w:vAlign w:val="center"/>
          </w:tcPr>
          <w:p>
            <w:pPr>
              <w:spacing w:line="240" w:lineRule="auto"/>
              <w:jc w:val="center"/>
              <w:rPr>
                <w:rFonts w:ascii="宋体" w:hAnsi="宋体"/>
                <w:szCs w:val="24"/>
                <w:highlight w:val="none"/>
              </w:rPr>
            </w:pPr>
            <w:r>
              <w:rPr>
                <w:rFonts w:hint="eastAsia" w:ascii="宋体" w:hAnsi="宋体"/>
                <w:szCs w:val="24"/>
                <w:highlight w:val="none"/>
              </w:rPr>
              <w:t>企业实力</w:t>
            </w:r>
          </w:p>
          <w:p>
            <w:pPr>
              <w:spacing w:line="240" w:lineRule="auto"/>
              <w:jc w:val="center"/>
              <w:rPr>
                <w:rFonts w:hint="eastAsia" w:ascii="宋体" w:hAnsi="宋体" w:eastAsia="宋体" w:cstheme="minorBidi"/>
                <w:b/>
                <w:kern w:val="2"/>
                <w:sz w:val="24"/>
                <w:szCs w:val="24"/>
                <w:highlight w:val="none"/>
                <w:lang w:val="en-US" w:eastAsia="zh-CN" w:bidi="ar-SA"/>
              </w:rPr>
            </w:pPr>
            <w:r>
              <w:rPr>
                <w:rFonts w:hint="eastAsia" w:ascii="宋体" w:hAnsi="宋体"/>
                <w:szCs w:val="24"/>
                <w:highlight w:val="none"/>
              </w:rPr>
              <w:t>（</w:t>
            </w:r>
            <w:r>
              <w:rPr>
                <w:rFonts w:hint="eastAsia" w:ascii="宋体" w:hAnsi="宋体"/>
                <w:szCs w:val="24"/>
                <w:highlight w:val="none"/>
                <w:lang w:val="en-US" w:eastAsia="zh-CN"/>
              </w:rPr>
              <w:t>10</w:t>
            </w:r>
            <w:r>
              <w:rPr>
                <w:rFonts w:hint="eastAsia" w:ascii="宋体" w:hAnsi="宋体"/>
                <w:szCs w:val="24"/>
                <w:highlight w:val="none"/>
              </w:rPr>
              <w:t>分）</w:t>
            </w:r>
          </w:p>
        </w:tc>
        <w:tc>
          <w:tcPr>
            <w:tcW w:w="3424" w:type="pct"/>
            <w:tcBorders>
              <w:top w:val="single" w:color="auto" w:sz="4" w:space="0"/>
              <w:left w:val="single" w:color="auto" w:sz="4" w:space="0"/>
              <w:right w:val="single" w:color="auto" w:sz="4" w:space="0"/>
            </w:tcBorders>
            <w:vAlign w:val="center"/>
          </w:tcPr>
          <w:p>
            <w:pPr>
              <w:spacing w:line="240" w:lineRule="auto"/>
              <w:jc w:val="left"/>
              <w:rPr>
                <w:rFonts w:ascii="宋体" w:hAnsi="宋体"/>
                <w:szCs w:val="24"/>
                <w:highlight w:val="none"/>
              </w:rPr>
            </w:pPr>
            <w:r>
              <w:rPr>
                <w:rFonts w:ascii="宋体" w:hAnsi="宋体"/>
                <w:szCs w:val="24"/>
                <w:highlight w:val="none"/>
              </w:rPr>
              <w:t>1</w:t>
            </w:r>
            <w:r>
              <w:rPr>
                <w:rFonts w:hint="eastAsia" w:ascii="宋体" w:hAnsi="宋体"/>
                <w:szCs w:val="24"/>
                <w:highlight w:val="none"/>
              </w:rPr>
              <w:t>.投标人或所投产品制造商拥有质量管理体系认证</w:t>
            </w:r>
            <w:r>
              <w:rPr>
                <w:rFonts w:hint="eastAsia" w:ascii="宋体" w:hAnsi="宋体"/>
                <w:szCs w:val="24"/>
                <w:highlight w:val="none"/>
                <w:lang w:val="en-US" w:eastAsia="zh-CN"/>
              </w:rPr>
              <w:t>加5分</w:t>
            </w:r>
            <w:r>
              <w:rPr>
                <w:rFonts w:hint="eastAsia" w:ascii="宋体" w:hAnsi="宋体"/>
                <w:szCs w:val="24"/>
                <w:highlight w:val="none"/>
              </w:rPr>
              <w:t>；</w:t>
            </w:r>
          </w:p>
          <w:p>
            <w:pPr>
              <w:spacing w:line="240" w:lineRule="auto"/>
              <w:jc w:val="left"/>
              <w:rPr>
                <w:rFonts w:ascii="宋体" w:hAnsi="宋体"/>
                <w:szCs w:val="24"/>
                <w:highlight w:val="none"/>
              </w:rPr>
            </w:pPr>
            <w:r>
              <w:rPr>
                <w:rFonts w:hint="eastAsia" w:ascii="宋体" w:hAnsi="宋体"/>
                <w:szCs w:val="24"/>
                <w:highlight w:val="none"/>
                <w:lang w:val="en-US" w:eastAsia="zh-CN"/>
              </w:rPr>
              <w:t>2</w:t>
            </w:r>
            <w:r>
              <w:rPr>
                <w:rFonts w:hint="eastAsia" w:ascii="宋体" w:hAnsi="宋体"/>
                <w:szCs w:val="24"/>
                <w:highlight w:val="none"/>
              </w:rPr>
              <w:t>.投标人或所投产品制造商拥有职业健康安全管理体系认证</w:t>
            </w:r>
            <w:r>
              <w:rPr>
                <w:rFonts w:hint="eastAsia" w:ascii="宋体" w:hAnsi="宋体"/>
                <w:szCs w:val="24"/>
                <w:highlight w:val="none"/>
                <w:lang w:val="en-US" w:eastAsia="zh-CN"/>
              </w:rPr>
              <w:t>加5分</w:t>
            </w:r>
            <w:r>
              <w:rPr>
                <w:rFonts w:hint="eastAsia" w:ascii="宋体" w:hAnsi="宋体"/>
                <w:szCs w:val="24"/>
                <w:highlight w:val="none"/>
              </w:rPr>
              <w:t>；</w:t>
            </w:r>
          </w:p>
          <w:p>
            <w:pPr>
              <w:spacing w:line="240" w:lineRule="auto"/>
              <w:jc w:val="left"/>
              <w:rPr>
                <w:rFonts w:hint="eastAsia" w:ascii="宋体" w:hAnsi="宋体" w:eastAsia="宋体" w:cstheme="minorBidi"/>
                <w:kern w:val="2"/>
                <w:sz w:val="24"/>
                <w:szCs w:val="24"/>
                <w:highlight w:val="none"/>
                <w:lang w:val="en-US" w:eastAsia="zh-CN" w:bidi="ar-SA"/>
              </w:rPr>
            </w:pPr>
            <w:r>
              <w:rPr>
                <w:rFonts w:hint="eastAsia" w:ascii="宋体" w:hAnsi="宋体"/>
                <w:b/>
                <w:bCs/>
                <w:szCs w:val="24"/>
                <w:highlight w:val="none"/>
              </w:rPr>
              <w:t>（评审依据：相关</w:t>
            </w:r>
            <w:r>
              <w:rPr>
                <w:rFonts w:ascii="宋体" w:hAnsi="宋体"/>
                <w:b/>
                <w:bCs/>
                <w:szCs w:val="24"/>
                <w:highlight w:val="none"/>
              </w:rPr>
              <w:t>证明材料复印件加盖公章</w:t>
            </w:r>
            <w:r>
              <w:rPr>
                <w:rFonts w:hint="eastAsia" w:ascii="宋体" w:hAnsi="宋体"/>
                <w:b/>
                <w:bCs/>
                <w:szCs w:val="24"/>
                <w:highlight w:val="none"/>
                <w:lang w:eastAsia="zh-CN"/>
              </w:rPr>
              <w:t>，</w:t>
            </w:r>
            <w:r>
              <w:rPr>
                <w:rFonts w:hint="eastAsia" w:ascii="宋体" w:hAnsi="宋体"/>
                <w:b/>
                <w:bCs/>
                <w:szCs w:val="24"/>
                <w:highlight w:val="none"/>
                <w:lang w:val="en-US" w:eastAsia="zh-CN"/>
              </w:rPr>
              <w:t>未提供不得分</w:t>
            </w:r>
            <w:r>
              <w:rPr>
                <w:rFonts w:hint="eastAsia" w:ascii="宋体" w:hAnsi="宋体"/>
                <w:b/>
                <w:bCs/>
                <w:szCs w:val="24"/>
                <w:highlight w:val="none"/>
              </w:rPr>
              <w:t>）</w:t>
            </w:r>
          </w:p>
        </w:tc>
        <w:tc>
          <w:tcPr>
            <w:tcW w:w="833" w:type="pct"/>
            <w:tcBorders>
              <w:top w:val="single" w:color="auto" w:sz="4" w:space="0"/>
              <w:left w:val="single" w:color="auto" w:sz="4" w:space="0"/>
              <w:right w:val="single" w:color="auto" w:sz="4" w:space="0"/>
            </w:tcBorders>
            <w:vAlign w:val="center"/>
          </w:tcPr>
          <w:p>
            <w:pPr>
              <w:spacing w:line="240" w:lineRule="auto"/>
              <w:jc w:val="center"/>
              <w:rPr>
                <w:rFonts w:ascii="宋体" w:hAnsi="宋体" w:eastAsia="宋体" w:cstheme="minorBidi"/>
                <w:kern w:val="2"/>
                <w:sz w:val="24"/>
                <w:szCs w:val="24"/>
                <w:highlight w:val="none"/>
                <w:lang w:val="en-US" w:eastAsia="zh-CN" w:bidi="ar-SA"/>
              </w:rPr>
            </w:pPr>
            <w:r>
              <w:rPr>
                <w:rFonts w:hint="eastAsia" w:ascii="宋体" w:hAnsi="宋体"/>
                <w:szCs w:val="24"/>
                <w:highlight w:val="none"/>
                <w:lang w:val="en-US" w:eastAsia="zh-CN"/>
              </w:rPr>
              <w:t>10</w:t>
            </w:r>
            <w:r>
              <w:rPr>
                <w:rFonts w:hint="eastAsia" w:ascii="宋体" w:hAnsi="宋体"/>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42" w:type="pct"/>
            <w:tcBorders>
              <w:left w:val="single" w:color="auto" w:sz="4" w:space="0"/>
              <w:right w:val="single" w:color="auto" w:sz="4" w:space="0"/>
            </w:tcBorders>
            <w:vAlign w:val="center"/>
          </w:tcPr>
          <w:p>
            <w:pPr>
              <w:spacing w:line="240" w:lineRule="auto"/>
              <w:jc w:val="center"/>
              <w:rPr>
                <w:rFonts w:ascii="宋体" w:hAnsi="宋体"/>
                <w:szCs w:val="24"/>
                <w:highlight w:val="none"/>
              </w:rPr>
            </w:pPr>
            <w:r>
              <w:rPr>
                <w:rFonts w:hint="eastAsia" w:ascii="宋体" w:hAnsi="宋体"/>
                <w:szCs w:val="24"/>
                <w:highlight w:val="none"/>
              </w:rPr>
              <w:t>售后服务</w:t>
            </w:r>
          </w:p>
          <w:p>
            <w:pPr>
              <w:spacing w:line="240" w:lineRule="auto"/>
              <w:jc w:val="center"/>
              <w:rPr>
                <w:rFonts w:ascii="宋体" w:hAnsi="宋体"/>
                <w:szCs w:val="24"/>
                <w:highlight w:val="none"/>
              </w:rPr>
            </w:pPr>
            <w:r>
              <w:rPr>
                <w:rFonts w:hint="eastAsia" w:ascii="宋体" w:hAnsi="宋体"/>
                <w:szCs w:val="24"/>
                <w:highlight w:val="none"/>
              </w:rPr>
              <w:t>（</w:t>
            </w:r>
            <w:r>
              <w:rPr>
                <w:rFonts w:hint="eastAsia" w:ascii="宋体" w:hAnsi="宋体"/>
                <w:szCs w:val="24"/>
                <w:highlight w:val="none"/>
                <w:lang w:val="en-US" w:eastAsia="zh-CN"/>
              </w:rPr>
              <w:t>15</w:t>
            </w:r>
            <w:r>
              <w:rPr>
                <w:rFonts w:hint="eastAsia" w:ascii="宋体" w:hAnsi="宋体"/>
                <w:szCs w:val="24"/>
                <w:highlight w:val="none"/>
              </w:rPr>
              <w:t>分）</w:t>
            </w:r>
          </w:p>
        </w:tc>
        <w:tc>
          <w:tcPr>
            <w:tcW w:w="3424" w:type="pct"/>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hint="default" w:ascii="宋体" w:hAnsi="宋体" w:eastAsia="宋体"/>
                <w:bCs/>
                <w:szCs w:val="24"/>
                <w:highlight w:val="none"/>
                <w:lang w:val="en-US" w:eastAsia="zh-CN"/>
              </w:rPr>
            </w:pPr>
            <w:r>
              <w:rPr>
                <w:rFonts w:hint="eastAsia" w:ascii="宋体" w:hAnsi="宋体"/>
                <w:bCs/>
                <w:szCs w:val="24"/>
                <w:highlight w:val="none"/>
              </w:rPr>
              <w:t>根服务方案内包含</w:t>
            </w:r>
            <w:r>
              <w:rPr>
                <w:rFonts w:hint="eastAsia" w:ascii="宋体" w:hAnsi="宋体"/>
                <w:b/>
                <w:bCs w:val="0"/>
                <w:szCs w:val="24"/>
                <w:highlight w:val="none"/>
                <w:u w:val="single"/>
                <w:lang w:eastAsia="zh-CN"/>
              </w:rPr>
              <w:t>（</w:t>
            </w:r>
            <w:r>
              <w:rPr>
                <w:rFonts w:hint="eastAsia" w:ascii="宋体" w:hAnsi="宋体"/>
                <w:b/>
                <w:bCs w:val="0"/>
                <w:szCs w:val="24"/>
                <w:highlight w:val="none"/>
                <w:u w:val="single"/>
                <w:lang w:val="en-US" w:eastAsia="zh-CN"/>
              </w:rPr>
              <w:t>1</w:t>
            </w:r>
            <w:r>
              <w:rPr>
                <w:rFonts w:hint="eastAsia" w:ascii="宋体" w:hAnsi="宋体"/>
                <w:b/>
                <w:bCs w:val="0"/>
                <w:szCs w:val="24"/>
                <w:highlight w:val="none"/>
                <w:u w:val="single"/>
                <w:lang w:eastAsia="zh-CN"/>
              </w:rPr>
              <w:t>）</w:t>
            </w:r>
            <w:r>
              <w:rPr>
                <w:rFonts w:hint="eastAsia" w:ascii="宋体" w:hAnsi="宋体"/>
                <w:b/>
                <w:bCs w:val="0"/>
                <w:szCs w:val="24"/>
                <w:highlight w:val="none"/>
                <w:u w:val="single"/>
              </w:rPr>
              <w:t>售后服务方案、</w:t>
            </w:r>
            <w:r>
              <w:rPr>
                <w:rFonts w:hint="eastAsia" w:ascii="宋体" w:hAnsi="宋体"/>
                <w:b/>
                <w:bCs w:val="0"/>
                <w:szCs w:val="24"/>
                <w:highlight w:val="none"/>
                <w:u w:val="single"/>
                <w:lang w:eastAsia="zh-CN"/>
              </w:rPr>
              <w:t>（</w:t>
            </w:r>
            <w:r>
              <w:rPr>
                <w:rFonts w:hint="eastAsia" w:ascii="宋体" w:hAnsi="宋体"/>
                <w:b/>
                <w:bCs w:val="0"/>
                <w:szCs w:val="24"/>
                <w:highlight w:val="none"/>
                <w:u w:val="single"/>
                <w:lang w:val="en-US" w:eastAsia="zh-CN"/>
              </w:rPr>
              <w:t>2</w:t>
            </w:r>
            <w:r>
              <w:rPr>
                <w:rFonts w:hint="eastAsia" w:ascii="宋体" w:hAnsi="宋体"/>
                <w:b/>
                <w:bCs w:val="0"/>
                <w:szCs w:val="24"/>
                <w:highlight w:val="none"/>
                <w:u w:val="single"/>
                <w:lang w:eastAsia="zh-CN"/>
              </w:rPr>
              <w:t>）</w:t>
            </w:r>
            <w:r>
              <w:rPr>
                <w:rFonts w:hint="eastAsia" w:ascii="宋体" w:hAnsi="宋体"/>
                <w:b/>
                <w:bCs w:val="0"/>
                <w:szCs w:val="24"/>
                <w:highlight w:val="none"/>
                <w:u w:val="single"/>
              </w:rPr>
              <w:t>供货流程</w:t>
            </w:r>
            <w:r>
              <w:rPr>
                <w:rFonts w:hint="eastAsia" w:ascii="宋体" w:hAnsi="宋体"/>
                <w:b/>
                <w:bCs w:val="0"/>
                <w:szCs w:val="24"/>
                <w:highlight w:val="none"/>
                <w:u w:val="single"/>
                <w:lang w:eastAsia="zh-CN"/>
              </w:rPr>
              <w:t>、（</w:t>
            </w:r>
            <w:r>
              <w:rPr>
                <w:rFonts w:hint="eastAsia" w:ascii="宋体" w:hAnsi="宋体"/>
                <w:b/>
                <w:bCs w:val="0"/>
                <w:szCs w:val="24"/>
                <w:highlight w:val="none"/>
                <w:u w:val="single"/>
                <w:lang w:val="en-US" w:eastAsia="zh-CN"/>
              </w:rPr>
              <w:t>3</w:t>
            </w:r>
            <w:r>
              <w:rPr>
                <w:rFonts w:hint="eastAsia" w:ascii="宋体" w:hAnsi="宋体"/>
                <w:b/>
                <w:bCs w:val="0"/>
                <w:szCs w:val="24"/>
                <w:highlight w:val="none"/>
                <w:u w:val="single"/>
                <w:lang w:eastAsia="zh-CN"/>
              </w:rPr>
              <w:t>）</w:t>
            </w:r>
            <w:r>
              <w:rPr>
                <w:rFonts w:hint="eastAsia" w:ascii="宋体" w:hAnsi="宋体"/>
                <w:b/>
                <w:bCs w:val="0"/>
                <w:szCs w:val="24"/>
                <w:highlight w:val="none"/>
                <w:u w:val="single"/>
              </w:rPr>
              <w:t>产品质量保证措施、</w:t>
            </w:r>
            <w:r>
              <w:rPr>
                <w:rFonts w:hint="eastAsia" w:ascii="宋体" w:hAnsi="宋体"/>
                <w:b/>
                <w:bCs w:val="0"/>
                <w:szCs w:val="24"/>
                <w:highlight w:val="none"/>
                <w:u w:val="single"/>
                <w:lang w:eastAsia="zh-CN"/>
              </w:rPr>
              <w:t>（</w:t>
            </w:r>
            <w:r>
              <w:rPr>
                <w:rFonts w:hint="eastAsia" w:ascii="宋体" w:hAnsi="宋体"/>
                <w:b/>
                <w:bCs w:val="0"/>
                <w:szCs w:val="24"/>
                <w:highlight w:val="none"/>
                <w:u w:val="single"/>
                <w:lang w:val="en-US" w:eastAsia="zh-CN"/>
              </w:rPr>
              <w:t>4</w:t>
            </w:r>
            <w:r>
              <w:rPr>
                <w:rFonts w:hint="eastAsia" w:ascii="宋体" w:hAnsi="宋体"/>
                <w:b/>
                <w:bCs w:val="0"/>
                <w:szCs w:val="24"/>
                <w:highlight w:val="none"/>
                <w:u w:val="single"/>
                <w:lang w:eastAsia="zh-CN"/>
              </w:rPr>
              <w:t>）</w:t>
            </w:r>
            <w:r>
              <w:rPr>
                <w:rFonts w:hint="eastAsia" w:ascii="宋体" w:hAnsi="宋体"/>
                <w:b/>
                <w:bCs w:val="0"/>
                <w:szCs w:val="24"/>
                <w:highlight w:val="none"/>
                <w:u w:val="single"/>
                <w:lang w:val="en-US" w:eastAsia="zh-CN"/>
              </w:rPr>
              <w:t>售后服务地点</w:t>
            </w:r>
            <w:r>
              <w:rPr>
                <w:rFonts w:hint="eastAsia" w:ascii="宋体" w:hAnsi="宋体"/>
                <w:b/>
                <w:bCs w:val="0"/>
                <w:szCs w:val="24"/>
                <w:highlight w:val="none"/>
                <w:u w:val="single"/>
              </w:rPr>
              <w:t>、</w:t>
            </w:r>
            <w:r>
              <w:rPr>
                <w:rFonts w:hint="eastAsia" w:ascii="宋体" w:hAnsi="宋体"/>
                <w:b/>
                <w:bCs w:val="0"/>
                <w:szCs w:val="24"/>
                <w:highlight w:val="none"/>
                <w:u w:val="single"/>
                <w:lang w:eastAsia="zh-CN"/>
              </w:rPr>
              <w:t>（</w:t>
            </w:r>
            <w:r>
              <w:rPr>
                <w:rFonts w:hint="eastAsia" w:ascii="宋体" w:hAnsi="宋体"/>
                <w:b/>
                <w:bCs w:val="0"/>
                <w:szCs w:val="24"/>
                <w:highlight w:val="none"/>
                <w:u w:val="single"/>
                <w:lang w:val="en-US" w:eastAsia="zh-CN"/>
              </w:rPr>
              <w:t>5</w:t>
            </w:r>
            <w:r>
              <w:rPr>
                <w:rFonts w:hint="eastAsia" w:ascii="宋体" w:hAnsi="宋体"/>
                <w:b/>
                <w:bCs w:val="0"/>
                <w:szCs w:val="24"/>
                <w:highlight w:val="none"/>
                <w:u w:val="single"/>
                <w:lang w:eastAsia="zh-CN"/>
              </w:rPr>
              <w:t>）</w:t>
            </w:r>
            <w:r>
              <w:rPr>
                <w:rFonts w:hint="eastAsia" w:ascii="宋体" w:hAnsi="宋体"/>
                <w:b/>
                <w:bCs w:val="0"/>
                <w:szCs w:val="24"/>
                <w:highlight w:val="none"/>
                <w:u w:val="single"/>
                <w:lang w:val="en-US" w:eastAsia="zh-CN"/>
              </w:rPr>
              <w:t>售后服务人员</w:t>
            </w:r>
            <w:r>
              <w:rPr>
                <w:rFonts w:hint="eastAsia" w:ascii="宋体" w:hAnsi="宋体"/>
                <w:bCs/>
                <w:szCs w:val="24"/>
                <w:highlight w:val="none"/>
                <w:lang w:eastAsia="zh-CN"/>
              </w:rPr>
              <w:t>，每</w:t>
            </w:r>
            <w:r>
              <w:rPr>
                <w:rFonts w:hint="eastAsia" w:ascii="宋体" w:hAnsi="宋体"/>
                <w:bCs/>
                <w:szCs w:val="24"/>
                <w:highlight w:val="none"/>
                <w:lang w:val="en-US" w:eastAsia="zh-CN"/>
              </w:rPr>
              <w:t>有一项得3分，最多得15分。</w:t>
            </w:r>
          </w:p>
          <w:p>
            <w:pPr>
              <w:spacing w:line="240" w:lineRule="auto"/>
              <w:rPr>
                <w:rFonts w:ascii="宋体" w:hAnsi="宋体"/>
                <w:szCs w:val="24"/>
                <w:highlight w:val="none"/>
              </w:rPr>
            </w:pPr>
            <w:r>
              <w:rPr>
                <w:rFonts w:hint="eastAsia" w:ascii="宋体" w:hAnsi="宋体"/>
                <w:b/>
                <w:bCs/>
                <w:szCs w:val="24"/>
                <w:highlight w:val="none"/>
              </w:rPr>
              <w:t>（评审依据：提供</w:t>
            </w:r>
            <w:r>
              <w:rPr>
                <w:rFonts w:hint="eastAsia" w:ascii="宋体" w:hAnsi="宋体"/>
                <w:b/>
                <w:bCs/>
                <w:szCs w:val="24"/>
                <w:highlight w:val="none"/>
                <w:lang w:val="en-US" w:eastAsia="zh-CN"/>
              </w:rPr>
              <w:t>售后</w:t>
            </w:r>
            <w:r>
              <w:rPr>
                <w:rFonts w:ascii="宋体" w:hAnsi="宋体"/>
                <w:b/>
                <w:bCs/>
                <w:szCs w:val="24"/>
                <w:highlight w:val="none"/>
              </w:rPr>
              <w:t>服务方案加盖投标人公章</w:t>
            </w:r>
            <w:r>
              <w:rPr>
                <w:rFonts w:hint="eastAsia" w:ascii="宋体" w:hAnsi="宋体"/>
                <w:b/>
                <w:bCs/>
                <w:szCs w:val="24"/>
                <w:highlight w:val="none"/>
              </w:rPr>
              <w:t>）</w:t>
            </w:r>
          </w:p>
        </w:tc>
        <w:tc>
          <w:tcPr>
            <w:tcW w:w="8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4"/>
                <w:highlight w:val="none"/>
              </w:rPr>
            </w:pPr>
            <w:r>
              <w:rPr>
                <w:rFonts w:hint="eastAsia" w:ascii="宋体" w:hAnsi="宋体"/>
                <w:szCs w:val="24"/>
                <w:highlight w:val="none"/>
                <w:lang w:val="en-US" w:eastAsia="zh-CN"/>
              </w:rPr>
              <w:t>15</w:t>
            </w:r>
            <w:r>
              <w:rPr>
                <w:rFonts w:hint="eastAsia" w:ascii="宋体" w:hAnsi="宋体"/>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742" w:type="pct"/>
            <w:tcBorders>
              <w:left w:val="single" w:color="auto" w:sz="4" w:space="0"/>
              <w:right w:val="single" w:color="auto" w:sz="4" w:space="0"/>
            </w:tcBorders>
            <w:vAlign w:val="center"/>
          </w:tcPr>
          <w:p>
            <w:pPr>
              <w:widowControl/>
              <w:jc w:val="center"/>
              <w:rPr>
                <w:rFonts w:hint="eastAsia"/>
                <w:color w:val="auto"/>
                <w:highlight w:val="none"/>
              </w:rPr>
            </w:pPr>
            <w:r>
              <w:rPr>
                <w:rFonts w:hint="eastAsia"/>
                <w:color w:val="auto"/>
                <w:highlight w:val="none"/>
              </w:rPr>
              <w:t>响应时间</w:t>
            </w:r>
          </w:p>
          <w:p>
            <w:pPr>
              <w:pStyle w:val="2"/>
              <w:jc w:val="center"/>
              <w:rPr>
                <w:rFonts w:hint="eastAsia" w:ascii="宋体" w:hAnsi="宋体" w:eastAsia="宋体" w:cstheme="minorBidi"/>
                <w:kern w:val="2"/>
                <w:sz w:val="24"/>
                <w:szCs w:val="24"/>
                <w:highlight w:val="none"/>
                <w:lang w:val="en-US" w:eastAsia="zh-CN" w:bidi="ar-SA"/>
              </w:rPr>
            </w:pP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5分</w:t>
            </w:r>
            <w:r>
              <w:rPr>
                <w:rFonts w:hint="eastAsia" w:ascii="宋体" w:hAnsi="宋体" w:cs="宋体"/>
                <w:color w:val="auto"/>
                <w:kern w:val="0"/>
                <w:szCs w:val="24"/>
                <w:highlight w:val="none"/>
                <w:lang w:eastAsia="zh-CN"/>
              </w:rPr>
              <w:t>）</w:t>
            </w:r>
          </w:p>
        </w:tc>
        <w:tc>
          <w:tcPr>
            <w:tcW w:w="3424" w:type="pct"/>
            <w:tcBorders>
              <w:top w:val="single" w:color="auto" w:sz="4" w:space="0"/>
              <w:left w:val="single" w:color="auto" w:sz="4" w:space="0"/>
              <w:right w:val="single" w:color="auto" w:sz="4" w:space="0"/>
            </w:tcBorders>
            <w:vAlign w:val="center"/>
          </w:tcPr>
          <w:p>
            <w:pPr>
              <w:widowControl/>
              <w:rPr>
                <w:rFonts w:hint="eastAsia" w:ascii="宋体" w:hAnsi="宋体" w:cs="宋体"/>
                <w:color w:val="auto"/>
                <w:kern w:val="0"/>
                <w:szCs w:val="24"/>
                <w:highlight w:val="none"/>
              </w:rPr>
            </w:pPr>
            <w:r>
              <w:rPr>
                <w:rFonts w:hint="eastAsia" w:ascii="宋体" w:hAnsi="宋体" w:cs="宋体"/>
                <w:color w:val="auto"/>
                <w:kern w:val="0"/>
                <w:szCs w:val="24"/>
                <w:highlight w:val="none"/>
              </w:rPr>
              <w:t>投标人承诺接到</w:t>
            </w:r>
            <w:r>
              <w:rPr>
                <w:rFonts w:hint="eastAsia" w:ascii="宋体" w:hAnsi="宋体" w:cs="宋体"/>
                <w:color w:val="auto"/>
                <w:kern w:val="0"/>
                <w:szCs w:val="24"/>
                <w:highlight w:val="none"/>
                <w:lang w:val="en-US" w:eastAsia="zh-CN"/>
              </w:rPr>
              <w:t>服务</w:t>
            </w:r>
            <w:r>
              <w:rPr>
                <w:rFonts w:hint="eastAsia" w:ascii="宋体" w:hAnsi="宋体" w:cs="宋体"/>
                <w:color w:val="auto"/>
                <w:kern w:val="0"/>
                <w:szCs w:val="24"/>
                <w:highlight w:val="none"/>
              </w:rPr>
              <w:t>要求后</w:t>
            </w:r>
            <w:r>
              <w:rPr>
                <w:rFonts w:hint="eastAsia" w:ascii="宋体" w:hAnsi="宋体" w:cs="宋体"/>
                <w:color w:val="auto"/>
                <w:kern w:val="0"/>
                <w:szCs w:val="24"/>
                <w:highlight w:val="none"/>
                <w:lang w:val="en-US" w:eastAsia="zh-CN"/>
              </w:rPr>
              <w:t>1小时</w:t>
            </w:r>
            <w:r>
              <w:rPr>
                <w:rFonts w:hint="eastAsia" w:ascii="Calibri" w:hAnsi="Calibri" w:cs="宋体"/>
                <w:color w:val="auto"/>
                <w:kern w:val="0"/>
                <w:szCs w:val="24"/>
                <w:highlight w:val="none"/>
                <w:lang w:val="en-US" w:eastAsia="zh-CN"/>
              </w:rPr>
              <w:t>内响应</w:t>
            </w:r>
            <w:r>
              <w:rPr>
                <w:rFonts w:hint="eastAsia" w:ascii="宋体" w:hAnsi="宋体" w:cs="宋体"/>
                <w:color w:val="auto"/>
                <w:kern w:val="0"/>
                <w:szCs w:val="24"/>
                <w:highlight w:val="none"/>
              </w:rPr>
              <w:t>得</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分，</w:t>
            </w:r>
            <w:r>
              <w:rPr>
                <w:rFonts w:hint="eastAsia" w:ascii="Calibri" w:hAnsi="Calibri" w:cs="宋体"/>
                <w:color w:val="auto"/>
                <w:kern w:val="0"/>
                <w:szCs w:val="24"/>
                <w:highlight w:val="none"/>
                <w:lang w:val="en-US" w:eastAsia="zh-CN"/>
              </w:rPr>
              <w:t>2</w:t>
            </w:r>
            <w:r>
              <w:rPr>
                <w:rFonts w:hint="eastAsia" w:ascii="宋体" w:hAnsi="宋体" w:cs="宋体"/>
                <w:color w:val="auto"/>
                <w:kern w:val="0"/>
                <w:szCs w:val="24"/>
                <w:highlight w:val="none"/>
              </w:rPr>
              <w:t>小时</w:t>
            </w:r>
            <w:r>
              <w:rPr>
                <w:rFonts w:hint="eastAsia" w:ascii="Calibri" w:hAnsi="Calibri" w:cs="宋体"/>
                <w:color w:val="auto"/>
                <w:kern w:val="0"/>
                <w:szCs w:val="24"/>
                <w:highlight w:val="none"/>
                <w:lang w:val="en-US" w:eastAsia="zh-CN"/>
              </w:rPr>
              <w:t>内响应</w:t>
            </w:r>
            <w:r>
              <w:rPr>
                <w:rFonts w:hint="eastAsia" w:ascii="宋体" w:hAnsi="宋体" w:cs="宋体"/>
                <w:color w:val="auto"/>
                <w:kern w:val="0"/>
                <w:szCs w:val="24"/>
                <w:highlight w:val="none"/>
              </w:rPr>
              <w:t>得</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分，</w:t>
            </w:r>
            <w:r>
              <w:rPr>
                <w:rFonts w:hint="eastAsia" w:ascii="Calibri" w:hAnsi="Calibri" w:cs="宋体"/>
                <w:color w:val="auto"/>
                <w:kern w:val="0"/>
                <w:szCs w:val="24"/>
                <w:highlight w:val="none"/>
                <w:lang w:val="en-US" w:eastAsia="zh-CN"/>
              </w:rPr>
              <w:t>3</w:t>
            </w:r>
            <w:r>
              <w:rPr>
                <w:rFonts w:hint="eastAsia" w:ascii="宋体" w:hAnsi="宋体" w:cs="宋体"/>
                <w:color w:val="auto"/>
                <w:kern w:val="0"/>
                <w:szCs w:val="24"/>
                <w:highlight w:val="none"/>
              </w:rPr>
              <w:t>小时内</w:t>
            </w:r>
            <w:r>
              <w:rPr>
                <w:rFonts w:hint="eastAsia" w:ascii="宋体" w:hAnsi="宋体" w:cs="宋体"/>
                <w:color w:val="auto"/>
                <w:kern w:val="0"/>
                <w:szCs w:val="24"/>
                <w:highlight w:val="none"/>
                <w:lang w:val="en-US" w:eastAsia="zh-CN"/>
              </w:rPr>
              <w:t>响应</w:t>
            </w:r>
            <w:r>
              <w:rPr>
                <w:rFonts w:hint="eastAsia" w:ascii="宋体" w:hAnsi="宋体" w:cs="宋体"/>
                <w:color w:val="auto"/>
                <w:kern w:val="0"/>
                <w:szCs w:val="24"/>
                <w:highlight w:val="none"/>
              </w:rPr>
              <w:t>得</w:t>
            </w:r>
            <w:r>
              <w:rPr>
                <w:rFonts w:ascii="Calibri" w:hAnsi="Calibri" w:cs="宋体"/>
                <w:color w:val="auto"/>
                <w:kern w:val="0"/>
                <w:szCs w:val="24"/>
                <w:highlight w:val="none"/>
              </w:rPr>
              <w:t>1</w:t>
            </w:r>
            <w:r>
              <w:rPr>
                <w:rFonts w:hint="eastAsia" w:ascii="宋体" w:hAnsi="宋体" w:cs="宋体"/>
                <w:color w:val="auto"/>
                <w:kern w:val="0"/>
                <w:szCs w:val="24"/>
                <w:highlight w:val="none"/>
              </w:rPr>
              <w:t>分，</w:t>
            </w:r>
            <w:r>
              <w:rPr>
                <w:rFonts w:hint="eastAsia" w:ascii="Calibri" w:hAnsi="Calibri" w:cs="宋体"/>
                <w:color w:val="auto"/>
                <w:kern w:val="0"/>
                <w:szCs w:val="24"/>
                <w:highlight w:val="none"/>
                <w:lang w:val="en-US" w:eastAsia="zh-CN"/>
              </w:rPr>
              <w:t>3</w:t>
            </w:r>
            <w:r>
              <w:rPr>
                <w:rFonts w:hint="eastAsia" w:ascii="宋体" w:hAnsi="宋体" w:cs="宋体"/>
                <w:color w:val="auto"/>
                <w:kern w:val="0"/>
                <w:szCs w:val="24"/>
                <w:highlight w:val="none"/>
              </w:rPr>
              <w:t>小时以上</w:t>
            </w:r>
            <w:r>
              <w:rPr>
                <w:rFonts w:hint="eastAsia" w:ascii="宋体" w:hAnsi="宋体" w:cs="宋体"/>
                <w:color w:val="auto"/>
                <w:kern w:val="0"/>
                <w:szCs w:val="24"/>
                <w:highlight w:val="none"/>
                <w:lang w:val="en-US" w:eastAsia="zh-CN"/>
              </w:rPr>
              <w:t>响应</w:t>
            </w:r>
            <w:r>
              <w:rPr>
                <w:rFonts w:hint="eastAsia" w:ascii="宋体" w:hAnsi="宋体" w:cs="宋体"/>
                <w:color w:val="auto"/>
                <w:kern w:val="0"/>
                <w:szCs w:val="24"/>
                <w:highlight w:val="none"/>
              </w:rPr>
              <w:t>不得分。</w:t>
            </w:r>
          </w:p>
          <w:p>
            <w:pPr>
              <w:widowControl/>
              <w:rPr>
                <w:rFonts w:hint="eastAsia" w:ascii="宋体" w:hAnsi="宋体" w:eastAsia="宋体" w:cstheme="minorBidi"/>
                <w:kern w:val="2"/>
                <w:sz w:val="24"/>
                <w:szCs w:val="24"/>
                <w:highlight w:val="none"/>
                <w:lang w:val="en-US" w:eastAsia="zh-CN" w:bidi="ar-SA"/>
              </w:rPr>
            </w:pPr>
            <w:r>
              <w:rPr>
                <w:rFonts w:hint="eastAsia" w:ascii="宋体" w:hAnsi="宋体" w:cs="宋体"/>
                <w:color w:val="auto"/>
                <w:kern w:val="0"/>
                <w:szCs w:val="24"/>
                <w:highlight w:val="none"/>
                <w:lang w:eastAsia="zh-CN"/>
              </w:rPr>
              <w:t>（</w:t>
            </w:r>
            <w:r>
              <w:rPr>
                <w:rFonts w:hint="eastAsia" w:ascii="宋体" w:hAnsi="宋体" w:cs="宋体"/>
                <w:b/>
                <w:bCs/>
                <w:color w:val="auto"/>
                <w:kern w:val="0"/>
                <w:szCs w:val="24"/>
                <w:highlight w:val="none"/>
              </w:rPr>
              <w:t>评审依据：承诺函</w:t>
            </w:r>
            <w:r>
              <w:rPr>
                <w:rFonts w:hint="eastAsia" w:ascii="宋体" w:hAnsi="宋体"/>
                <w:b/>
                <w:bCs/>
                <w:color w:val="auto"/>
                <w:szCs w:val="24"/>
                <w:highlight w:val="none"/>
              </w:rPr>
              <w:t>加盖公章</w:t>
            </w:r>
            <w:r>
              <w:rPr>
                <w:rFonts w:hint="eastAsia" w:ascii="宋体" w:hAnsi="宋体" w:cs="宋体"/>
                <w:color w:val="auto"/>
                <w:kern w:val="0"/>
                <w:szCs w:val="24"/>
                <w:highlight w:val="none"/>
                <w:lang w:eastAsia="zh-CN"/>
              </w:rPr>
              <w:t>）</w:t>
            </w:r>
          </w:p>
        </w:tc>
        <w:tc>
          <w:tcPr>
            <w:tcW w:w="833" w:type="pc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theme="minorBidi"/>
                <w:kern w:val="2"/>
                <w:sz w:val="24"/>
                <w:szCs w:val="24"/>
                <w:highlight w:val="none"/>
                <w:lang w:val="en-US" w:eastAsia="zh-CN" w:bidi="ar-SA"/>
              </w:rPr>
            </w:pPr>
            <w:r>
              <w:rPr>
                <w:rFonts w:hint="eastAsia" w:ascii="宋体" w:hAnsi="宋体"/>
                <w:color w:val="auto"/>
                <w:szCs w:val="24"/>
                <w:highlight w:val="none"/>
                <w:lang w:val="en-US" w:eastAsia="zh-CN"/>
              </w:rPr>
              <w:t>5分</w:t>
            </w:r>
          </w:p>
        </w:tc>
      </w:tr>
    </w:tbl>
    <w:p>
      <w:pPr>
        <w:pStyle w:val="45"/>
        <w:ind w:firstLine="0" w:firstLineChars="0"/>
      </w:pPr>
    </w:p>
    <w:p/>
    <w:p>
      <w:pPr>
        <w:rPr>
          <w:rFonts w:asciiTheme="minorEastAsia" w:hAnsiTheme="minorEastAsia" w:eastAsiaTheme="minorEastAsia"/>
          <w:b/>
          <w:sz w:val="28"/>
          <w:szCs w:val="28"/>
        </w:rPr>
      </w:pPr>
    </w:p>
    <w:sectPr>
      <w:pgSz w:w="11907" w:h="16840"/>
      <w:pgMar w:top="1418" w:right="1418" w:bottom="1418" w:left="1814" w:header="1134" w:footer="851"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
    <w:altName w:val="Segoe Print"/>
    <w:panose1 w:val="020B060402020203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0707233"/>
      <w:docPartObj>
        <w:docPartGallery w:val="autotext"/>
      </w:docPartObj>
    </w:sdtPr>
    <w:sdtContent>
      <w:p>
        <w:pPr>
          <w:pStyle w:val="19"/>
          <w:ind w:firstLine="480"/>
          <w:jc w:val="right"/>
        </w:pPr>
        <w:r>
          <w:fldChar w:fldCharType="begin"/>
        </w:r>
        <w:r>
          <w:instrText xml:space="preserve">PAGE   \* MERGEFORMAT</w:instrText>
        </w:r>
        <w:r>
          <w:fldChar w:fldCharType="separate"/>
        </w:r>
        <w:r>
          <w:rPr>
            <w:lang w:val="zh-CN"/>
          </w:rPr>
          <w:t>-</w:t>
        </w:r>
        <w:r>
          <w:t xml:space="preserve"> 13 -</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22175"/>
      <w:docPartObj>
        <w:docPartGallery w:val="autotext"/>
      </w:docPartObj>
    </w:sdtPr>
    <w:sdtContent>
      <w:p>
        <w:pPr>
          <w:pStyle w:val="19"/>
          <w:ind w:firstLine="480"/>
          <w:jc w:val="right"/>
        </w:pPr>
        <w:r>
          <w:fldChar w:fldCharType="begin"/>
        </w:r>
        <w:r>
          <w:instrText xml:space="preserve">PAGE   \* MERGEFORMAT</w:instrText>
        </w:r>
        <w:r>
          <w:fldChar w:fldCharType="separate"/>
        </w:r>
        <w:r>
          <w:rPr>
            <w:lang w:val="zh-CN"/>
          </w:rPr>
          <w:t>-</w:t>
        </w:r>
        <w:r>
          <w:t xml:space="preserve"> 16 -</w:t>
        </w:r>
        <w:r>
          <w:fldChar w:fldCharType="end"/>
        </w:r>
      </w:p>
    </w:sdtContent>
  </w:sdt>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9785445"/>
      <w:docPartObj>
        <w:docPartGallery w:val="autotext"/>
      </w:docPartObj>
    </w:sdtPr>
    <w:sdtContent>
      <w:p>
        <w:pPr>
          <w:pStyle w:val="19"/>
          <w:ind w:firstLine="480"/>
          <w:jc w:val="right"/>
        </w:pPr>
        <w:r>
          <w:fldChar w:fldCharType="begin"/>
        </w:r>
        <w:r>
          <w:instrText xml:space="preserve">PAGE   \* MERGEFORMAT</w:instrText>
        </w:r>
        <w:r>
          <w:fldChar w:fldCharType="separate"/>
        </w:r>
        <w:r>
          <w:rPr>
            <w:lang w:val="zh-CN"/>
          </w:rPr>
          <w:t>-</w:t>
        </w:r>
        <w:r>
          <w:t xml:space="preserve"> 15 -</w:t>
        </w:r>
        <w:r>
          <w:fldChar w:fldCharType="end"/>
        </w:r>
      </w:p>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C53715"/>
    <w:multiLevelType w:val="multilevel"/>
    <w:tmpl w:val="42C53715"/>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92C60C"/>
    <w:multiLevelType w:val="singleLevel"/>
    <w:tmpl w:val="5E92C60C"/>
    <w:lvl w:ilvl="0" w:tentative="0">
      <w:start w:val="1"/>
      <w:numFmt w:val="decimal"/>
      <w:suff w:val="nothing"/>
      <w:lvlText w:val="（%1）"/>
      <w:lvlJc w:val="left"/>
    </w:lvl>
  </w:abstractNum>
  <w:abstractNum w:abstractNumId="2">
    <w:nsid w:val="7FC452DC"/>
    <w:multiLevelType w:val="singleLevel"/>
    <w:tmpl w:val="7FC452D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MGRjZjZlM2I4NWY4Y2YyZjhkZjE0NWEwNTFmOWQifQ=="/>
    <w:docVar w:name="NE.Ref{071D8A60-E03B-499F-8E52-F2F046DB8DBC}" w:val=" ADDIN NE.Ref.{071D8A60-E03B-499F-8E52-F2F046DB8DBC} ADDIN NE.Ref.{071D8A60-E03B-499F-8E52-F2F046DB8DBC}&lt;Citation&gt;&lt;Group&gt;&lt;References&gt;&lt;Item&gt;&lt;ID&gt;130&lt;/ID&gt;&lt;UID&gt;{EE8C1F4C-F715-42E1-9D82-2F350AABA250}&lt;/UID&gt;&lt;Title&gt;AtMYB14 Regulates Cold Tolerance in Arabidopsis&lt;/Title&gt;&lt;Template&gt;Journal Article&lt;/Template&gt;&lt;Star&gt;0&lt;/Star&gt;&lt;Tag&gt;0&lt;/Tag&gt;&lt;Author&gt;Chen, Y; Chen, Z L; Kang, J Q; Kang, D M; Gu, H Y; Qin, G J&lt;/Author&gt;&lt;Year&gt;2013&lt;/Year&gt;&lt;Details&gt;&lt;_accessed&gt;60027376&lt;/_accessed&gt;&lt;_author_adr&gt;[Chen, Yan; Chen, Zhangliang; Kang, Dingming] China Agr Univ, Coll Agron &amp;amp; Biotechnol, Beijing 100094, Peoples R China. [Gu, Hongya] Natl Plant Gene Res Ctr Beijing, Beijing 100101, Peoples R China. [Chen, Zhangliang; Kang, Juqing; Gu, Hongya; Qin, Genji] Peking Univ, State Key Lab Prot &amp;amp; Plant Gene Res, Beijing 100871, Peoples R China._x000d__x000a_Qin, GJ (reprint author), Peking Univ, State Key Lab Prot &amp;amp; Plant Gene Res, Beijing 100871, Peoples R China._x000d__x000a_E-Mail: qingenji@pku.edu.cn&lt;/_author_adr&gt;&lt;_created&gt;60027368&lt;/_created&gt;&lt;_custom1&gt;PLANT MOL BIOL REP_x000d__x000a_Plant Mol. Biol. Rep.&lt;/_custom1&gt;&lt;_date_display&gt;2013_x000d__x000a_FEB&lt;/_date_display&gt;&lt;_db_updated&gt;web_of_knowledge_511&lt;/_db_updated&gt;&lt;_isbn&gt;0735-9640&lt;/_isbn&gt;&lt;_issue&gt;1&lt;/_issue&gt;&lt;_journal&gt;PLANT MOLECULAR BIOLOGY REPORTER&lt;/_journal&gt;&lt;_keywords&gt;AtMYB14; R2R3-type MYB transcription factor; Cold tolerance; CBF genes; Arabidopsis; MYB TRANSCRIPTION FACTOR; R2R3-MYB GENE FAMILY; LOW-TEMPERATURE; FREEZING TOLERANCE; SIGNAL-TRANSDUCTION; NEGATIVE REGULATOR; SALT STRESS; EXPRESSION; THALIANA; DROUGHT&lt;/_keywords&gt;&lt;_language&gt;English&lt;/_language&gt;&lt;_modified&gt;60027376&lt;/_modified&gt;&lt;_number&gt;WOS:000313412900010&lt;/_number&gt;&lt;_ori_publication&gt;SPRINGER&lt;/_ori_publication&gt;&lt;_pages&gt;87-97&lt;/_pages&gt;&lt;_place_published&gt;NEW YORK&lt;/_place_published&gt;&lt;_type_work&gt;Article&lt;/_type_work&gt;&lt;_volume&gt;31&lt;/_volume&gt;&lt;/Details&gt;&lt;Extra&gt;&lt;DBUID&gt;{EDEA4BC4-0457-43F1-8F42-A2410C0142AC}&lt;/DBUID&gt;&lt;/Extra&gt;&lt;/Item&gt;&lt;/References&gt;&lt;/Group&gt;&lt;/Citation&gt;_x000a_"/>
    <w:docVar w:name="NE.Ref{098DFF1E-B681-40DE-BFAA-0CC4C0F596CE}" w:val=" ADDIN NE.Ref.{098DFF1E-B681-40DE-BFAA-0CC4C0F596CE} ADDIN NE.Ref.{098DFF1E-B681-40DE-BFAA-0CC4C0F596CE}&lt;Citation&gt;&lt;Group&gt;&lt;References&gt;&lt;Item&gt;&lt;ID&gt;164&lt;/ID&gt;&lt;UID&gt;{335DD87B-438E-4738-AE2E-EADE6D6B583A}&lt;/UID&gt;&lt;Title&gt;Nitrogen deficiency enhances expression of specific MYB and bHLH transcription factors and accumulation of end products in the flavonoid pathway&lt;/Title&gt;&lt;Template&gt;Journal Article&lt;/Template&gt;&lt;Star&gt;0&lt;/Star&gt;&lt;Tag&gt;0&lt;/Tag&gt;&lt;Author&gt;Lea, U S; Slimestad, R; Smedvig, P; Lillo, C&lt;/Author&gt;&lt;Year&gt;2007&lt;/Year&gt;&lt;Details&gt;&lt;_accessed&gt;60041412&lt;/_accessed&gt;&lt;_accession_num&gt;17053893&lt;/_accession_num&gt;&lt;_author_adr&gt;Faculty of Science and Technology, University of Stavanger, 4036 Stavanger, Norway.&lt;/_author_adr&gt;&lt;_created&gt;60041407&lt;/_created&gt;&lt;_date&gt;56406240&lt;/_date&gt;&lt;_date_display&gt;2007 Apr&lt;/_date_display&gt;&lt;_db_updated&gt;PubMed&lt;/_db_updated&gt;&lt;_doi&gt;10.1007/s00425-006-0414-x&lt;/_doi&gt;&lt;_issue&gt;5&lt;/_issue&gt;&lt;_journal&gt;Planta&lt;/_journal&gt;&lt;_keywords&gt;Agar; Anthocyanins/metabolism; Arabidopsis; Arabidopsis Proteins/*genetics; Basic Helix-Loop-Helix Transcription Factors/*genetics; Cell Culture Techniques; Flavonoids/*metabolism; *Gene Expression Regulation, Plant; Nitrogen/*deficiency; Seedling/genetics/metabolism; Soil; Transcription Factors/*genetics&lt;/_keywords&gt;&lt;_language&gt;eng&lt;/_language&gt;&lt;_modified&gt;60041412&lt;/_modified&gt;&lt;_pages&gt;1245-53&lt;/_pages&gt;&lt;_type_work&gt;Journal Article&lt;/_type_work&gt;&lt;_url&gt;http://www.ncbi.nlm.nih.gov/entrez/query.fcgi?cmd=Retrieve&amp;amp;db=pubmed&amp;amp;dopt=Abstract&amp;amp;list_uids=17053893&amp;amp;query_hl=1&lt;/_url&gt;&lt;_volume&gt;225&lt;/_volume&gt;&lt;/Details&gt;&lt;Extra&gt;&lt;DBUID&gt;{EDEA4BC4-0457-43F1-8F42-A2410C0142AC}&lt;/DBUID&gt;&lt;/Extra&gt;&lt;/Item&gt;&lt;/References&gt;&lt;/Group&gt;&lt;/Citation&gt;_x000a_"/>
    <w:docVar w:name="NE.Ref{0A24DF19-DBF9-4009-9D26-3D3A43C1A10A}" w:val=" ADDIN NE.Ref.{0A24DF19-DBF9-4009-9D26-3D3A43C1A10A} ADDIN NE.Ref.{0A24DF19-DBF9-4009-9D26-3D3A43C1A10A}&lt;Citation&gt;&lt;Group&gt;&lt;References&gt;&lt;Item&gt;&lt;ID&gt;136&lt;/ID&gt;&lt;UID&gt;{41E6E47C-1853-466D-A648-4F7B47E6D4EC}&lt;/UID&gt;&lt;Title&gt;The regulatory c1 locus of Zea mays encodes a protein with homology to myb proto-oncogene products and with structural similarities to transcriptional activators&lt;/Title&gt;&lt;Template&gt;Journal Article&lt;/Template&gt;&lt;Star&gt;0&lt;/Star&gt;&lt;Tag&gt;0&lt;/Tag&gt;&lt;Author&gt;Paz-Ares, J; Ghosal, D; Wienand, U; Peterson, P A; Saedler, H&lt;/Author&gt;&lt;Year&gt;1987&lt;/Year&gt;&lt;Details&gt;&lt;_accessed&gt;60027487&lt;/_accessed&gt;&lt;_accession_num&gt;3428265&lt;/_accession_num&gt;&lt;_author_adr&gt;Max-Planck Institut fur Zuchtungsforschung, Koln, FRG.&lt;/_author_adr&gt;&lt;_created&gt;60027483&lt;/_created&gt;&lt;_date&gt;46238400&lt;/_date&gt;&lt;_date_display&gt;1987 Dec 1&lt;/_date_display&gt;&lt;_db_updated&gt;PubMed&lt;/_db_updated&gt;&lt;_issue&gt;12&lt;/_issue&gt;&lt;_journal&gt;EMBO J&lt;/_journal&gt;&lt;_keywords&gt;Amino Acid Sequence; Animals; Anthocyanins/genetics; Cloning, Molecular; DNA/analysis; *Genes; *Genes, Regulator; Molecular Sequence Data; Plant Proteins/*genetics; Plants/*genetics; Promoter Regions, Genetic; *Proto-Oncogenes; Sequence Homology, Nucleic Acid; *Transcription, Genetic; Zea mays/genetics&lt;/_keywords&gt;&lt;_language&gt;eng&lt;/_language&gt;&lt;_modified&gt;60027487&lt;/_modified&gt;&lt;_pages&gt;3553-8&lt;/_pages&gt;&lt;_type_work&gt;Comparative Study; Journal Article; Research Support, Non-U.S. Gov&amp;apos;t&lt;/_type_work&gt;&lt;_url&gt;http://www.ncbi.nlm.nih.gov/entrez/query.fcgi?cmd=Retrieve&amp;amp;db=pubmed&amp;amp;dopt=Abstract&amp;amp;list_uids=3428265&amp;amp;query_hl=1&lt;/_url&gt;&lt;_volume&gt;6&lt;/_volume&gt;&lt;/Details&gt;&lt;Extra&gt;&lt;DBUID&gt;{EDEA4BC4-0457-43F1-8F42-A2410C0142AC}&lt;/DBUID&gt;&lt;/Extra&gt;&lt;/Item&gt;&lt;/References&gt;&lt;/Group&gt;&lt;/Citation&gt;_x000a_"/>
    <w:docVar w:name="NE.Ref{0BA8C9E7-B3BA-43C9-BFD7-84E4D7FC51FD}" w:val=" ADDIN NE.Ref.{0BA8C9E7-B3BA-43C9-BFD7-84E4D7FC51FD} ADDIN NE.Ref.{0BA8C9E7-B3BA-43C9-BFD7-84E4D7FC51FD}&lt;Citation&gt;&lt;Group&gt;&lt;References&gt;&lt;Item&gt;&lt;ID&gt;134&lt;/ID&gt;&lt;UID&gt;{DA77FB04-FCDF-4C03-99A7-0FAD7976D6DD}&lt;/UID&gt;&lt;Title&gt;Overexpression of the Wounding-Responsive Gene AtMYB15 Activates the Shikimate Pathway in Arabidopsis&lt;/Title&gt;&lt;Template&gt;Journal Article&lt;/Template&gt;&lt;Star&gt;0&lt;/Star&gt;&lt;Tag&gt;0&lt;/Tag&gt;&lt;Author&gt;Chen, Yanhui; Zhang, Xiangbo; Wu, Wei; Chen, Zhangliang; Gu, Hongya; Qu, Li-Jia&lt;/Author&gt;&lt;Year&gt;2006&lt;/Year&gt;&lt;Details&gt;&lt;_accessed&gt;60027410&lt;/_accessed&gt;&lt;_created&gt;60027385&lt;/_created&gt;&lt;_db_updated&gt;GoogleScholar&lt;/_db_updated&gt;&lt;_issue&gt;9&lt;/_issue&gt;&lt;_journal&gt;Journal of Integrative Plant Biology&lt;/_journal&gt;&lt;_modified&gt;60027385&lt;/_modified&gt;&lt;_pages&gt;1084--1095&lt;/_pages&gt;&lt;_volume&gt;48&lt;/_volume&gt;&lt;/Details&gt;&lt;Extra&gt;&lt;DBUID&gt;{EDEA4BC4-0457-43F1-8F42-A2410C0142AC}&lt;/DBUID&gt;&lt;/Extra&gt;&lt;/Item&gt;&lt;/References&gt;&lt;/Group&gt;&lt;/Citation&gt;_x000a_"/>
    <w:docVar w:name="NE.Ref{0FDE89D8-336B-4891-96D8-15B580470056}" w:val=" ADDIN NE.Ref.{0FDE89D8-336B-4891-96D8-15B580470056} ADDIN NE.Ref.{0FDE89D8-336B-4891-96D8-15B580470056}&lt;Citation&gt;&lt;Group&gt;&lt;References&gt;&lt;Item&gt;&lt;ID&gt;148&lt;/ID&gt;&lt;UID&gt;{EAD594A3-F901-406D-A2CA-1808CCE67265}&lt;/UID&gt;&lt;Title&gt;A dual role for MYB60 in stomatal regulation and root growth of Arabidopsis thaliana under drought stress&lt;/Title&gt;&lt;Template&gt;Journal Article&lt;/Template&gt;&lt;Star&gt;0&lt;/Star&gt;&lt;Tag&gt;0&lt;/Tag&gt;&lt;Author&gt;Oh, J E; Kwon, Y; Kim, J H; Noh, H; Hong, S W; Lee, H&lt;/Author&gt;&lt;Year&gt;2011&lt;/Year&gt;&lt;Details&gt;&lt;_accessed&gt;60041375&lt;/_accessed&gt;&lt;_accession_num&gt;21637967&lt;/_accession_num&gt;&lt;_author_adr&gt;College of Life Sciences and Biotechnology, Korea University,Seoul 136-713, Republic of Korea.&lt;/_author_adr&gt;&lt;_created&gt;60041371&lt;/_created&gt;&lt;_date&gt;58730400&lt;/_date&gt;&lt;_date_display&gt;2011 Sep&lt;/_date_display&gt;&lt;_db_updated&gt;PubMed&lt;/_db_updated&gt;&lt;_doi&gt;10.1007/s11103-011-9796-7&lt;/_doi&gt;&lt;_issue&gt;1-2&lt;/_issue&gt;&lt;_journal&gt;Plant Mol Biol&lt;/_journal&gt;&lt;_keywords&gt;Abscisic Acid/pharmacology; Alternative Splicing; Amino Acid Sequence; Arabidopsis/drug effects/growth &amp;amp; development/*physiology; Arabidopsis Proteins/chemistry/genetics/*physiology; Droughts; Gene Expression Regulation, Plant; Molecular Sequence Data; Plant Roots/growth &amp;amp; development; Plant Stomata/*physiology; Sequence Alignment; *Stress, Physiological; Transcription Factors/chemistry/genetics/*physiology; Water/*metabolism&lt;/_keywords&gt;&lt;_language&gt;eng&lt;/_language&gt;&lt;_modified&gt;60041375&lt;/_modified&gt;&lt;_pages&gt;91-103&lt;/_pages&gt;&lt;_type_work&gt;Journal Article; Research Support, Non-U.S. Gov&amp;apos;t&lt;/_type_work&gt;&lt;_url&gt;http://www.ncbi.nlm.nih.gov/entrez/query.fcgi?cmd=Retrieve&amp;amp;db=pubmed&amp;amp;dopt=Abstract&amp;amp;list_uids=21637967&amp;amp;query_hl=1&lt;/_url&gt;&lt;_volume&gt;77&lt;/_volume&gt;&lt;/Details&gt;&lt;Extra&gt;&lt;DBUID&gt;{EDEA4BC4-0457-43F1-8F42-A2410C0142AC}&lt;/DBUID&gt;&lt;/Extra&gt;&lt;/Item&gt;&lt;/References&gt;&lt;/Group&gt;&lt;/Citation&gt;_x000a_"/>
    <w:docVar w:name="NE.Ref{13E40ECB-60DD-4650-837C-BA62D0C87127}" w:val=" ADDIN NE.Ref.{13E40ECB-60DD-4650-837C-BA62D0C87127} ADDIN NE.Ref.{13E40ECB-60DD-4650-837C-BA62D0C87127}&lt;Citation&gt;&lt;Group&gt;&lt;References&gt;&lt;Item&gt;&lt;ID&gt;178&lt;/ID&gt;&lt;UID&gt;{FB1490E7-BCAE-4D20-B2DE-8F87420887FF}&lt;/UID&gt;&lt;Title&gt;The Arabidopsis SUMO E3 ligase SIZ1 controls phosphate deficiency responses&lt;/Title&gt;&lt;Template&gt;Journal Article&lt;/Template&gt;&lt;Star&gt;0&lt;/Star&gt;&lt;Tag&gt;0&lt;/Tag&gt;&lt;Author&gt;Miura, K; Rus, A; Sharkhuu, A; Yokoi, S; Karthikeyan, A S; Raghothama, K G; Baek, D; Koo, Y D; Jin, J B; Bressan, R A; Yun, D J; Hasegawa, P M&lt;/Author&gt;&lt;Year&gt;2005&lt;/Year&gt;&lt;Details&gt;&lt;_accessed&gt;60041541&lt;/_accessed&gt;&lt;_accession_num&gt;15894620&lt;/_accession_num&gt;&lt;_author_adr&gt;Center for Plant Environmental Stress Physiology, Purdue University, West Lafayette, IN 47907, USA.&lt;/_author_adr&gt;&lt;_created&gt;60041537&lt;/_created&gt;&lt;_date&gt;55431360&lt;/_date&gt;&lt;_date_display&gt;2005 May 24&lt;/_date_display&gt;&lt;_db_updated&gt;PubMed&lt;/_db_updated&gt;&lt;_doi&gt;10.1073/pnas.0500778102&lt;/_doi&gt;&lt;_issue&gt;21&lt;/_issue&gt;&lt;_journal&gt;Proc Natl Acad Sci U S A&lt;/_journal&gt;&lt;_keywords&gt;Anthocyanins/metabolism; Arabidopsis/*genetics; Arabidopsis Proteins/metabolism; DNA, Bacterial/genetics; Green Fluorescent Proteins; Immunoblotting; Ligases/genetics/*metabolism; Mutation/genetics; Phosphates/deficiency/*metabolism; Plant Roots/genetics/growth &amp;amp; development; Polymerase Chain Reaction; Signal Transduction/*genetics; Ubiquitins/*metabolism&lt;/_keywords&gt;&lt;_language&gt;eng&lt;/_language&gt;&lt;_modified&gt;60041541&lt;/_modified&gt;&lt;_pages&gt;7760-5&lt;/_pages&gt;&lt;_type_work&gt;Comparative Study; Journal Article; Research Support, Non-U.S. Gov&amp;apos;t; Research Support, U.S. Gov&amp;apos;t, Non-P.H.S.&lt;/_type_work&gt;&lt;_url&gt;http://www.ncbi.nlm.nih.gov/entrez/query.fcgi?cmd=Retrieve&amp;amp;db=pubmed&amp;amp;dopt=Abstract&amp;amp;list_uids=15894620&amp;amp;query_hl=1&lt;/_url&gt;&lt;_volume&gt;102&lt;/_volume&gt;&lt;/Details&gt;&lt;Extra&gt;&lt;DBUID&gt;{EDEA4BC4-0457-43F1-8F42-A2410C0142AC}&lt;/DBUID&gt;&lt;/Extra&gt;&lt;/Item&gt;&lt;/References&gt;&lt;/Group&gt;&lt;/Citation&gt;_x000a_"/>
    <w:docVar w:name="NE.Ref{19B3A89E-E580-48DB-8EFC-884DC6FC2EA9}" w:val=" ADDIN NE.Ref.{19B3A89E-E580-48DB-8EFC-884DC6FC2EA9} ADDIN NE.Ref.{19B3A89E-E580-48DB-8EFC-884DC6FC2EA9}&lt;Citation&gt;&lt;Group&gt;&lt;References&gt;&lt;Item&gt;&lt;ID&gt;170&lt;/ID&gt;&lt;UID&gt;{57F311B1-556E-4588-8929-1E040A89FA0E}&lt;/UID&gt;&lt;Title&gt;MYB转录因子在植物抗逆胁迫中的作用及其分子机理&lt;/Title&gt;&lt;Template&gt;Journal Article&lt;/Template&gt;&lt;Star&gt;0&lt;/Star&gt;&lt;Tag&gt;0&lt;/Tag&gt;&lt;Author&gt;刘蕾; 杜海; 唐晓凤; 吴燕民; 黄玉碧; 唐益雄&lt;/Author&gt;&lt;Year&gt;2008&lt;/Year&gt;&lt;Details&gt;&lt;_accessed&gt;60041442&lt;/_accessed&gt;&lt;_author_adr&gt;四川农业大学玉米研究所,雅安625014 中闰农业科学院生物技术研究所,北京100081&lt;/_author_adr&gt;&lt;_created&gt;60041441&lt;/_created&gt;&lt;_db_provider&gt;重庆维普&lt;/_db_provider&gt;&lt;_db_updated&gt;CQ_VIP&lt;/_db_updated&gt;&lt;_isbn&gt;0253-9772&lt;/_isbn&gt;&lt;_issue&gt;10&lt;/_issue&gt;&lt;_journal&gt;遗传&lt;/_journal&gt;&lt;_keywords&gt;MYB; 转录因子; 抗逆胁迫; 转录调控; MYB; transcription factors; plant defense responses; transcriptional regulation&lt;/_keywords&gt;&lt;_language&gt;Chinese&lt;/_language&gt;&lt;_modified&gt;60041442&lt;/_modified&gt;&lt;_pages&gt;1265-1271&lt;/_pages&gt;&lt;_translated_author&gt;LIU, Lei; DU, Hai; TANG, Xiao-Feng; WU, Yan-Min; HUANG, Yu-Bi; TANG, Yi-Xiong Maize Research Institute; Sichuan, Agricultural University; Ya, An; China; Biotechnologe, Research Institute; Chinese, Academy Of Agricultural Sciences; Beijing; China&lt;/_translated_author&gt;&lt;_translated_title&gt;The roles of MYB transcription factors on plant defense responses and its molecular mechanism&lt;/_translated_title&gt;&lt;_url&gt;http://2010.cqvip.com/qk/92614X/200810/28444064.html&lt;/_url&gt;&lt;_volume&gt;30&lt;/_volume&gt;&lt;/Details&gt;&lt;Extra&gt;&lt;DBUID&gt;{EDEA4BC4-0457-43F1-8F42-A2410C0142AC}&lt;/DBUID&gt;&lt;/Extra&gt;&lt;/Item&gt;&lt;/References&gt;&lt;/Group&gt;&lt;/Citation&gt;_x000a_"/>
    <w:docVar w:name="NE.Ref{1C29C416-2221-46B3-9FE5-67E6F49D7788}" w:val=" ADDIN NE.Ref.{1C29C416-2221-46B3-9FE5-67E6F49D7788} ADDIN NE.Ref.{1C29C416-2221-46B3-9FE5-67E6F49D7788}&lt;Citation&gt;&lt;Group&gt;&lt;References&gt;&lt;Item&gt;&lt;ID&gt;156&lt;/ID&gt;&lt;UID&gt;{F38D6AE8-F032-40BF-8AB0-7ADF48F3C978}&lt;/UID&gt;&lt;Title&gt;The OsMyb4 gene family: stress response and transcriptional auto-regulation mechanisms&lt;/Title&gt;&lt;Template&gt;Journal Article&lt;/Template&gt;&lt;Star&gt;0&lt;/Star&gt;&lt;Tag&gt;0&lt;/Tag&gt;&lt;Author&gt;Baldoni, E; Genga, A; Medici, A; Coraggio, I; Locatelli, F&lt;/Author&gt;&lt;Year&gt;2013&lt;/Year&gt;&lt;Details&gt;&lt;_accessed&gt;60041390&lt;/_accessed&gt;&lt;_created&gt;60041390&lt;/_created&gt;&lt;_date_display&gt;12/2013&lt;/_date_display&gt;&lt;_db_updated&gt;PKU Search&lt;/_db_updated&gt;&lt;_doi&gt;10.1007/s10535-013-0331-3&lt;/_doi&gt;&lt;_isbn&gt;1573-8264&lt;/_isbn&gt;&lt;_issue&gt;4&lt;/_issue&gt;&lt;_journal&gt;Biologia Plantarum&lt;/_journal&gt;&lt;_modified&gt;60041390&lt;/_modified&gt;&lt;_pages&gt;691 - 700&lt;/_pages&gt;&lt;_subject_headings&gt;Myb transcription factor&lt;/_subject_headings&gt;&lt;_url&gt;http://pku.summon.serialssolutions.com/2.0.0/link/0/eLvHCXMwTZ1BCgIxDEWLeAJB116g0DbptFnLFBEFF7Nyl3SSuYOnt4gLL_Hff3_znTv3TMFS7hOpAYpE4yBZB0xEcfrOAq9HvT9Tm_PtL83bwe3efHRLm5fL1f_OAPxGmDzBZGXIhwkhKBqnRBGHDWAFyVWYBssZSg9cdYVRk7VT1LiWHlU6xJPbD5_WD1J_Jg4&amp;quot; class=&amp;quot;documentLink; http://dx.doi.org/10.1007/s10535-013-0331-3&lt;/_url&gt;&lt;_volume&gt;57&lt;/_volume&gt;&lt;/Details&gt;&lt;Extra&gt;&lt;DBUID&gt;{EDEA4BC4-0457-43F1-8F42-A2410C0142AC}&lt;/DBUID&gt;&lt;/Extra&gt;&lt;/Item&gt;&lt;/References&gt;&lt;/Group&gt;&lt;/Citation&gt;_x000a_"/>
    <w:docVar w:name="NE.Ref{26CCEE05-81F9-464D-8D2E-5A1305334F66}" w:val=" ADDIN NE.Ref.{26CCEE05-81F9-464D-8D2E-5A1305334F66} ADDIN NE.Ref.{26CCEE05-81F9-464D-8D2E-5A1305334F66}&lt;Citation&gt;&lt;Group&gt;&lt;References&gt;&lt;Item&gt;&lt;ID&gt;151&lt;/ID&gt;&lt;UID&gt;{A17470F5-F0F7-4D1F-ACAB-6D492A5B0E46}&lt;/UID&gt;&lt;Title&gt;A battery of transcription factors involved in the regulation of secondary cell wall biosynthesis in Arabidopsis&lt;/Title&gt;&lt;Template&gt;Journal Article&lt;/Template&gt;&lt;Star&gt;0&lt;/Star&gt;&lt;Tag&gt;0&lt;/Tag&gt;&lt;Author&gt;Zhong, R; Lee, C; Zhou, J; McCarthy, R L; Ye, Z H&lt;/Author&gt;&lt;Year&gt;2008&lt;/Year&gt;&lt;Details&gt;&lt;_accessed&gt;60041381&lt;/_accessed&gt;&lt;_accession_num&gt;18952777&lt;/_accession_num&gt;&lt;_author_adr&gt;Department of Plant Biology, University of Georgia, Athens, Georgia 30602, USA.&lt;/_author_adr&gt;&lt;_created&gt;60041380&lt;/_created&gt;&lt;_date&gt;57196800&lt;/_date&gt;&lt;_date_display&gt;2008 Oct&lt;/_date_display&gt;&lt;_db_updated&gt;PubMed&lt;/_db_updated&gt;&lt;_doi&gt;10.1105/tpc.108.061325&lt;/_doi&gt;&lt;_issue&gt;10&lt;/_issue&gt;&lt;_journal&gt;Plant Cell&lt;/_journal&gt;&lt;_keywords&gt;Arabidopsis/genetics/*metabolism/ultrastructure; Arabidopsis Proteins/genetics/metabolism/*physiology; Cell Wall/*metabolism; Gene Expression; Gene Expression Regulation, Plant; Glucuronidase/analysis; Plant Roots/genetics/metabolism/ultrastructure; Plant Stems/genetics/metabolism/ultrastructure; Plants, Genetically Modified/metabolism; Recombinant Proteins/analysis; Sequence Homology, Amino Acid; Signal Transduction; Transcription Factors/genetics/metabolism/*physiology&lt;/_keywords&gt;&lt;_language&gt;eng&lt;/_language&gt;&lt;_modified&gt;60041381&lt;/_modified&gt;&lt;_pages&gt;2763-82&lt;/_pages&gt;&lt;_type_work&gt;Journal Article; Research Support, U.S. Gov&amp;apos;t, Non-P.H.S.&lt;/_type_work&gt;&lt;_url&gt;http://www.ncbi.nlm.nih.gov/entrez/query.fcgi?cmd=Retrieve&amp;amp;db=pubmed&amp;amp;dopt=Abstract&amp;amp;list_uids=18952777&amp;amp;query_hl=1&lt;/_url&gt;&lt;_volume&gt;20&lt;/_volume&gt;&lt;/Details&gt;&lt;Extra&gt;&lt;DBUID&gt;{EDEA4BC4-0457-43F1-8F42-A2410C0142AC}&lt;/DBUID&gt;&lt;/Extra&gt;&lt;/Item&gt;&lt;/References&gt;&lt;/Group&gt;&lt;Group&gt;&lt;References&gt;&lt;Item&gt;&lt;ID&gt;152&lt;/ID&gt;&lt;UID&gt;{6C41ACC5-96B5-4348-B06F-F96DC6590BB2}&lt;/UID&gt;&lt;Title&gt;Ectopic expression of MYB46 identifies transcriptional regulatory genes involved  in secondary wall biosynthesis in Arabidopsis&lt;/Title&gt;&lt;Template&gt;Journal Article&lt;/Template&gt;&lt;Star&gt;0&lt;/Star&gt;&lt;Tag&gt;0&lt;/Tag&gt;&lt;Author&gt;Ko, J H; Kim, W C; Han, K H&lt;/Author&gt;&lt;Year&gt;2009&lt;/Year&gt;&lt;Details&gt;&lt;_accessed&gt;60041381&lt;/_accessed&gt;&lt;_accession_num&gt;19674407&lt;/_accession_num&gt;&lt;_author_adr&gt;Department of Forestry, Michigan State University, East Lansing, MI 48824-1222, USA.&lt;/_author_adr&gt;&lt;_created&gt;60041380&lt;/_created&gt;&lt;_date&gt;57767040&lt;/_date&gt;&lt;_date_display&gt;2009 Nov&lt;/_date_display&gt;&lt;_db_updated&gt;PubMed&lt;/_db_updated&gt;&lt;_doi&gt;10.1111/j.1365-313X.2009.03989.x&lt;/_doi&gt;&lt;_issue&gt;4&lt;/_issue&gt;&lt;_journal&gt;Plant J&lt;/_journal&gt;&lt;_keywords&gt;Arabidopsis/*genetics/growth &amp;amp; development; Arabidopsis Proteins/genetics/*metabolism; Cell Wall/*metabolism; DNA, Plant/genetics; Gene Expression Profiling; Gene Expression Regulation, Developmental; Gene Expression Regulation, Plant; Oligonucleotide Array Sequence Analysis; Plants, Genetically Modified/genetics/growth &amp;amp; development; Promoter Regions, Genetic; Transcription Factors/genetics/*metabolism; Transcriptional Activation&lt;/_keywords&gt;&lt;_language&gt;eng&lt;/_language&gt;&lt;_modified&gt;60041381&lt;/_modified&gt;&lt;_pages&gt;649-65&lt;/_pages&gt;&lt;_type_work&gt;Journal Article; Research Support, Non-U.S. Gov&amp;apos;t&lt;/_type_work&gt;&lt;_url&gt;http://www.ncbi.nlm.nih.gov/entrez/query.fcgi?cmd=Retrieve&amp;amp;db=pubmed&amp;amp;dopt=Abstract&amp;amp;list_uids=19674407&amp;amp;query_hl=1&lt;/_url&gt;&lt;_volume&gt;60&lt;/_volume&gt;&lt;/Details&gt;&lt;Extra&gt;&lt;DBUID&gt;{EDEA4BC4-0457-43F1-8F42-A2410C0142AC}&lt;/DBUID&gt;&lt;/Extra&gt;&lt;/Item&gt;&lt;/References&gt;&lt;/Group&gt;&lt;/Citation&gt;_x000a_"/>
    <w:docVar w:name="NE.Ref{2F75AAD8-AFA1-4105-B177-021465A7FC61}" w:val=" ADDIN NE.Ref.{2F75AAD8-AFA1-4105-B177-021465A7FC61} ADDIN NE.Ref.{2F75AAD8-AFA1-4105-B177-021465A7FC61}&lt;Citation&gt;&lt;Group&gt;&lt;References&gt;&lt;Item&gt;&lt;ID&gt;166&lt;/ID&gt;&lt;UID&gt;{4B0C93D2-FD60-42DA-9063-7024335C2C78}&lt;/UID&gt;&lt;Title&gt;Phosphate starvation responses and gibberellic acid biosynthesis are regulated by the MYB62 transcription factor in Arabidopsis&lt;/Title&gt;&lt;Template&gt;Journal Article&lt;/Template&gt;&lt;Star&gt;0&lt;/Star&gt;&lt;Tag&gt;0&lt;/Tag&gt;&lt;Author&gt;Devaiah, B N; Madhuvanthi, R; Karthikeyan, A S; Raghothama, K G&lt;/Author&gt;&lt;Year&gt;2009&lt;/Year&gt;&lt;Details&gt;&lt;_accessed&gt;60041409&lt;/_accessed&gt;&lt;_accession_num&gt;19529828&lt;/_accession_num&gt;&lt;_author_adr&gt;Department of Horticulture and Landscape Architecture, Purdue University, West Lafayette, IN 47907-1165, USA.&lt;/_author_adr&gt;&lt;_created&gt;60041409&lt;/_created&gt;&lt;_date&gt;57329280&lt;/_date&gt;&lt;_date_display&gt;2009 Jan&lt;/_date_display&gt;&lt;_db_updated&gt;PubMed&lt;/_db_updated&gt;&lt;_doi&gt;10.1093/mp/ssn081&lt;/_doi&gt;&lt;_issue&gt;1&lt;/_issue&gt;&lt;_journal&gt;Mol Plant&lt;/_journal&gt;&lt;_keywords&gt;Arabidopsis/*metabolism; Base Sequence; DNA Primers; Gibberellins/*biosynthesis; Phosphates/*metabolism; Plant Roots/enzymology; Reverse Transcriptase Polymerase Chain Reaction; Transcription Factors/*physiologyAbiotic/environmental stress; nutrition; signal transduction&lt;/_keywords&gt;&lt;_language&gt;eng&lt;/_language&gt;&lt;_modified&gt;60041409&lt;/_modified&gt;&lt;_pages&gt;43-58&lt;/_pages&gt;&lt;_type_work&gt;Journal Article; Research Support, Non-U.S. Gov&amp;apos;t; Research Support, U.S. Gov&amp;apos;t, Non-P.H.S.&lt;/_type_work&gt;&lt;_url&gt;http://www.ncbi.nlm.nih.gov/entrez/query.fcgi?cmd=Retrieve&amp;amp;db=pubmed&amp;amp;dopt=Abstract&amp;amp;list_uids=19529828&amp;amp;query_hl=1&lt;/_url&gt;&lt;_volume&gt;2&lt;/_volume&gt;&lt;/Details&gt;&lt;Extra&gt;&lt;DBUID&gt;{EDEA4BC4-0457-43F1-8F42-A2410C0142AC}&lt;/DBUID&gt;&lt;/Extra&gt;&lt;/Item&gt;&lt;/References&gt;&lt;/Group&gt;&lt;/Citation&gt;_x000a_"/>
    <w:docVar w:name="NE.Ref{34113CD5-0FEB-473C-9AB1-BD066411B896}" w:val=" ADDIN NE.Ref.{34113CD5-0FEB-473C-9AB1-BD066411B896} ADDIN NE.Ref.{34113CD5-0FEB-473C-9AB1-BD066411B896}&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3CC18CC3-EE3F-4834-98E9-62F69ACEE45D}" w:val=" ADDIN NE.Ref.{3CC18CC3-EE3F-4834-98E9-62F69ACEE45D} ADDIN NE.Ref.{3CC18CC3-EE3F-4834-98E9-62F69ACEE45D}&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41AE2C02-6CC7-4D25-B2A4-25F34AF75B38}" w:val=" ADDIN NE.Ref.{41AE2C02-6CC7-4D25-B2A4-25F34AF75B38} ADDIN NE.Ref.{41AE2C02-6CC7-4D25-B2A4-25F34AF75B38}&lt;Citation&gt;&lt;Group&gt;&lt;References&gt;&lt;Item&gt;&lt;ID&gt;133&lt;/ID&gt;&lt;UID&gt;{40D7A1E7-105E-4FB6-91B5-48D6F568DB4B}&lt;/UID&gt;&lt;Title&gt;MYB transcription factors in Arabidopsis&lt;/Title&gt;&lt;Template&gt;Journal Article&lt;/Template&gt;&lt;Star&gt;0&lt;/Star&gt;&lt;Tag&gt;0&lt;/Tag&gt;&lt;Author&gt;Dubos, Christian; Stracke, Ralf; Grotewold, Erich; Weisshaar, Bernd; Martin, Cathie; Lepiniec, Lo I C&lt;/Author&gt;&lt;Year&gt;2010&lt;/Year&gt;&lt;Details&gt;&lt;_accessed&gt;60027405&lt;/_accessed&gt;&lt;_created&gt;60027384&lt;/_created&gt;&lt;_db_updated&gt;GoogleScholar&lt;/_db_updated&gt;&lt;_issue&gt;10&lt;/_issue&gt;&lt;_journal&gt;Trends in plant science&lt;/_journal&gt;&lt;_modified&gt;60027405&lt;/_modified&gt;&lt;_pages&gt;573--581&lt;/_pages&gt;&lt;_volume&gt;15&lt;/_volume&gt;&lt;/Details&gt;&lt;Extra&gt;&lt;DBUID&gt;{EDEA4BC4-0457-43F1-8F42-A2410C0142AC}&lt;/DBUID&gt;&lt;/Extra&gt;&lt;/Item&gt;&lt;/References&gt;&lt;/Group&gt;&lt;/Citation&gt;_x000a_"/>
    <w:docVar w:name="NE.Ref{46113E88-91BC-4BD6-813C-196E75DED6FD}" w:val=" ADDIN NE.Ref.{46113E88-91BC-4BD6-813C-196E75DED6FD} ADDIN NE.Ref.{46113E88-91BC-4BD6-813C-196E75DED6FD}&lt;Citation&gt;&lt;Group&gt;&lt;References&gt;&lt;Item&gt;&lt;ID&gt;150&lt;/ID&gt;&lt;UID&gt;{9E367CBD-6762-4C7D-B4F1-310197BB60BE}&lt;/UID&gt;&lt;Title&gt;Expression of the Arabidopsis AtMYB44 gene confers drought/salt-stress tolerance in transgenic soybean&lt;/Title&gt;&lt;Template&gt;Journal Article&lt;/Template&gt;&lt;Star&gt;0&lt;/Star&gt;&lt;Tag&gt;0&lt;/Tag&gt;&lt;Author&gt;Seo, Jun Sung; Kim, Chang-Gi; Kim, Hwan Mook; Lee, Suk-Ha; Choi, Yang Do; Moon, Tae Wha 更多. Kim; Cheong, Jong-Joo; Sohn, Hwang Bae; Noh, Kaeyoung; Jung, Choonkyun; An, Ju Hee; Donovan, Christopher M; Somers, David A; Kim, Dae In; Jeong, Soon-Chun&lt;/Author&gt;&lt;Year&gt;2012&lt;/Year&gt;&lt;Details&gt;&lt;_accessed&gt;60041378&lt;/_accessed&gt;&lt;_created&gt;60041374&lt;/_created&gt;&lt;_date_display&gt;03/2012&lt;/_date_display&gt;&lt;_db_updated&gt;PKU Search&lt;/_db_updated&gt;&lt;_doi&gt;10.1007/s11032-011-9576-8&lt;/_doi&gt;&lt;_isbn&gt;1572-9788&lt;/_isbn&gt;&lt;_issue&gt;3&lt;/_issue&gt;&lt;_journal&gt;Molecular Breeding&lt;/_journal&gt;&lt;_modified&gt;60041378&lt;/_modified&gt;&lt;_pages&gt;601 - 608&lt;/_pages&gt;&lt;_subject_headings&gt;Agriculture&lt;/_subject_headings&gt;&lt;_url&gt;http://pku.summon.serialssolutions.com/2.0.0/link/0/eLvHCXMwTZ1NCkIxDISDeIIHuvYChf5b149XRBRc6AHaJD2Ep3cKLjxBVplvssgM0Slgi1iKFeCowVGwOA1pOD6rnVkp8zX6Ue5PX7d0-1PzutDu0w70rttrvZpfGYBhB49ussD8Qlh6A7FtkhnD7osOAaEuYKp0r4HTmIlcGsW3nGPGuKbR9uG6O9IeB7V-ASoSJZI&amp;quot; class=&amp;quot;documentLink; http://dx.doi.org/10.1007/s11032-011-9576-8&lt;/_url&gt;&lt;_volume&gt;29&lt;/_volume&gt;&lt;/Details&gt;&lt;Extra&gt;&lt;DBUID&gt;{EDEA4BC4-0457-43F1-8F42-A2410C0142AC}&lt;/DBUID&gt;&lt;/Extra&gt;&lt;/Item&gt;&lt;/References&gt;&lt;/Group&gt;&lt;/Citation&gt;_x000a_"/>
    <w:docVar w:name="NE.Ref{49A5558A-3718-41DB-82F5-5671EDFBC6A9}" w:val=" ADDIN NE.Ref.{49A5558A-3718-41DB-82F5-5671EDFBC6A9} ADDIN NE.Ref.{49A5558A-3718-41DB-82F5-5671EDFBC6A9}&lt;Citation&gt;&lt;Group&gt;&lt;References&gt;&lt;Item&gt;&lt;ID&gt;177&lt;/ID&gt;&lt;UID&gt;{72298BD2-14F7-4FE4-B520-2ED4CCFD38C6}&lt;/UID&gt;&lt;Title&gt;Post-translational modification of an R2R3-MYB transcription factor by a MAP Kinase during xylem development&lt;/Title&gt;&lt;Template&gt;Journal Article&lt;/Template&gt;&lt;Star&gt;0&lt;/Star&gt;&lt;Tag&gt;0&lt;/Tag&gt;&lt;Author&gt;Morse, A M; Whetten, R W; Dubos, C; Campbell, M M&lt;/Author&gt;&lt;Year&gt;2009&lt;/Year&gt;&lt;Details&gt;&lt;_accessed&gt;60041542&lt;/_accessed&gt;&lt;_accession_num&gt;19566814&lt;/_accession_num&gt;&lt;_author_adr&gt;Department of Molecular Genetics and Microbiology, University of Florida, Gainesville, FL 32610, USA.&lt;/_author_adr&gt;&lt;_created&gt;60041536&lt;/_created&gt;&lt;_date&gt;57356640&lt;/_date&gt;&lt;_date_display&gt;2009&lt;/_date_display&gt;&lt;_db_updated&gt;PubMed&lt;/_db_updated&gt;&lt;_doi&gt;10.1111/j.1469-8137.2009.02900.x&lt;/_doi&gt;&lt;_issue&gt;4&lt;/_issue&gt;&lt;_journal&gt;New Phytol&lt;/_journal&gt;&lt;_keywords&gt;*Gene Expression Regulation, Plant; *Genes, Plant; Mitogen-Activated Protein Kinases/*genetics; Phosphorylation; Pinus taeda/genetics; Protein Processing, Post-Translational/*genetics; Serine; Transcription Factors/*genetics; Xylem/*genetics/growth &amp;amp; development&lt;/_keywords&gt;&lt;_language&gt;eng&lt;/_language&gt;&lt;_modified&gt;60041542&lt;/_modified&gt;&lt;_pages&gt;1001-13&lt;/_pages&gt;&lt;_type_work&gt;Journal Article; Research Support, Non-U.S. Gov&amp;apos;t; Research Support, U.S. Gov&amp;apos;t, Non-P.H.S.&lt;/_type_work&gt;&lt;_url&gt;http://www.ncbi.nlm.nih.gov/entrez/query.fcgi?cmd=Retrieve&amp;amp;db=pubmed&amp;amp;dopt=Abstract&amp;amp;list_uids=19566814&amp;amp;query_hl=1&lt;/_url&gt;&lt;_volume&gt;183&lt;/_volume&gt;&lt;/Details&gt;&lt;Extra&gt;&lt;DBUID&gt;{EDEA4BC4-0457-43F1-8F42-A2410C0142AC}&lt;/DBUID&gt;&lt;/Extra&gt;&lt;/Item&gt;&lt;/References&gt;&lt;/Group&gt;&lt;/Citation&gt;_x000a_"/>
    <w:docVar w:name="NE.Ref{57BBFD6F-1B4E-431D-8A0C-CDA2B42D4E9A}" w:val=" ADDIN NE.Ref.{57BBFD6F-1B4E-431D-8A0C-CDA2B42D4E9A} ADDIN NE.Ref.{57BBFD6F-1B4E-431D-8A0C-CDA2B42D4E9A}&lt;Citation&gt;&lt;Group&gt;&lt;References&gt;&lt;Item&gt;&lt;ID&gt;138&lt;/ID&gt;&lt;UID&gt;{DED0D29B-3CDA-4879-9FE5-51511AD4BBB1}&lt;/UID&gt;&lt;Title&gt;A single-repeat R3-MYB transcription factor MYBC1 negatively regulates freezing tolerance in Arabidopsis&lt;/Title&gt;&lt;Template&gt;Journal Article&lt;/Template&gt;&lt;Star&gt;0&lt;/Star&gt;&lt;Tag&gt;0&lt;/Tag&gt;&lt;Author&gt;Zhai, H; Bai, X; Zhu, Y; Li, Y; Cai, H; Ji, W; Ji, Z; Liu, X; Liu, X; Li, J&lt;/Author&gt;&lt;Year&gt;2010&lt;/Year&gt;&lt;Details&gt;&lt;_accessed&gt;60028681&lt;/_accessed&gt;&lt;_accession_num&gt;20331973&lt;/_accession_num&gt;&lt;_author_adr&gt;Plant Bioengineering Laboratory, Northeast Agricultural University, Harbin 150030, PR China. Zhai.h@hotmail.com&lt;/_author_adr&gt;&lt;_created&gt;60028681&lt;/_created&gt;&lt;_date&gt;58006080&lt;/_date&gt;&lt;_date_display&gt;2010 Apr 16&lt;/_date_display&gt;&lt;_db_updated&gt;PubMed&lt;/_db_updated&gt;&lt;_doi&gt;10.1016/j.bbrc.2010.03.114&lt;/_doi&gt;&lt;_issue&gt;4&lt;/_issue&gt;&lt;_journal&gt;Biochem Biophys Res Commun&lt;/_journal&gt;&lt;_keywords&gt;Adaptation, Physiological/*genetics; Arabidopsis/genetics/*physiology; Arabidopsis Proteins/genetics/*metabolism; *Freezing; *Gene Expression Regulation, Plant; Stress, Physiological/*genetics; Transcription Factors/genetics/*metabolism&lt;/_keywords&gt;&lt;_language&gt;eng&lt;/_language&gt;&lt;_modified&gt;60028681&lt;/_modified&gt;&lt;_ori_publication&gt;2010 Elsevier Inc. All rights reserved.&lt;/_ori_publication&gt;&lt;_pages&gt;1018-23&lt;/_pages&gt;&lt;_type_work&gt;Journal Article; Research Support, Non-U.S. Gov&amp;apos;t&lt;/_type_work&gt;&lt;_url&gt;http://www.ncbi.nlm.nih.gov/entrez/query.fcgi?cmd=Retrieve&amp;amp;db=pubmed&amp;amp;dopt=Abstract&amp;amp;list_uids=20331973&amp;amp;query_hl=1&lt;/_url&gt;&lt;_volume&gt;394&lt;/_volume&gt;&lt;/Details&gt;&lt;Extra&gt;&lt;DBUID&gt;{EDEA4BC4-0457-43F1-8F42-A2410C0142AC}&lt;/DBUID&gt;&lt;/Extra&gt;&lt;/Item&gt;&lt;/References&gt;&lt;/Group&gt;&lt;/Citation&gt;_x000a_"/>
    <w:docVar w:name="NE.Ref{5D1A45DC-522A-4617-8017-C806B05F60CD}" w:val=" ADDIN NE.Ref.{5D1A45DC-522A-4617-8017-C806B05F60CD} ADDIN NE.Ref.{5D1A45DC-522A-4617-8017-C806B05F60CD}&lt;Citation&gt;&lt;Group&gt;&lt;References&gt;&lt;Item&gt;&lt;ID&gt;154&lt;/ID&gt;&lt;UID&gt;{9037B199-48AF-4250-A8D4-A71A26935141}&lt;/UID&gt;&lt;Title&gt;A study of the role of gene TaMYB2 and an associated SNP in dehydration tolerance in common wheat&lt;/Title&gt;&lt;Template&gt;Journal Article&lt;/Template&gt;&lt;Star&gt;0&lt;/Star&gt;&lt;Tag&gt;0&lt;/Tag&gt;&lt;Author&gt;Garg, B; Lata, C; Prasad, M&lt;/Author&gt;&lt;Year&gt;2012&lt;/Year&gt;&lt;Details&gt;&lt;_accessed&gt;60041390&lt;/_accessed&gt;&lt;_accession_num&gt;23065204&lt;/_accession_num&gt;&lt;_author_adr&gt;International Centre for Genetic Engineering and Biotechnology, Aruna Asaf Ali Marg, New Delhi, 110067, India.&lt;/_author_adr&gt;&lt;_created&gt;60041383&lt;/_created&gt;&lt;_date&gt;59388480&lt;/_date&gt;&lt;_date_display&gt;2012 Dec&lt;/_date_display&gt;&lt;_db_updated&gt;PubMed&lt;/_db_updated&gt;&lt;_doi&gt;10.1007/s11033-012-1983-3&lt;/_doi&gt;&lt;_issue&gt;12&lt;/_issue&gt;&lt;_journal&gt;Mol Biol Rep&lt;/_journal&gt;&lt;_keywords&gt;Adaptation, Physiological/genetics; Alleles; Base Sequence; Computational Biology; Dehydration; Gene Expression Profiling; Gene Expression Regulation, Plant; Genes, Plant/*genetics; Genetic Loci/genetics; Genetic Markers; Lipid Peroxidation/genetics; Molecular Sequence Data; Plant Growth Regulators/pharmacology; Plant Proteins/*genetics/metabolism; Polymorphism, Single Nucleotide/*genetics; Reproducibility of Results; Reverse Transcriptase Polymerase Chain Reaction; Stress, Physiological/drug effects/genetics; Triticum/*genetics/*physiology&lt;/_keywords&gt;&lt;_language&gt;eng&lt;/_language&gt;&lt;_modified&gt;60041390&lt;/_modified&gt;&lt;_pages&gt;10865-71&lt;/_pages&gt;&lt;_type_work&gt;Journal Article; Research Support, Non-U.S. Gov&amp;apos;t&lt;/_type_work&gt;&lt;_url&gt;http://www.ncbi.nlm.nih.gov/entrez/query.fcgi?cmd=Retrieve&amp;amp;db=pubmed&amp;amp;dopt=Abstract&amp;amp;list_uids=23065204&amp;amp;query_hl=1&lt;/_url&gt;&lt;_volume&gt;39&lt;/_volume&gt;&lt;/Details&gt;&lt;Extra&gt;&lt;DBUID&gt;{EDEA4BC4-0457-43F1-8F42-A2410C0142AC}&lt;/DBUID&gt;&lt;/Extra&gt;&lt;/Item&gt;&lt;/References&gt;&lt;/Group&gt;&lt;/Citation&gt;_x000a_"/>
    <w:docVar w:name="NE.Ref{5F0CF92E-BAC9-4FEB-9590-6A35AD8DAAF5}" w:val=" ADDIN NE.Ref.{5F0CF92E-BAC9-4FEB-9590-6A35AD8DAAF5} ADDIN NE.Ref.{5F0CF92E-BAC9-4FEB-9590-6A35AD8DAAF5}&lt;Citation&gt;&lt;Group&gt;&lt;References&gt;&lt;Item&gt;&lt;ID&gt;168&lt;/ID&gt;&lt;UID&gt;{8B4A3E6B-9228-454C-AAC8-19F0C4C8B2A3}&lt;/UID&gt;&lt;Title&gt;More than 80R2R3-MYB regulatory genes in the genome of Arabidopsis thaliana&lt;/Title&gt;&lt;Template&gt;Journal Article&lt;/Template&gt;&lt;Star&gt;0&lt;/Star&gt;&lt;Tag&gt;0&lt;/Tag&gt;&lt;Author&gt;Romero, I; Fuertes, A; Benito, M J; Malpica, J M; Leyva, A; Paz-Ares, J&lt;/Author&gt;&lt;Year&gt;1998&lt;/Year&gt;&lt;Details&gt;&lt;_accessed&gt;60041441&lt;/_accessed&gt;&lt;_accession_num&gt;9628022&lt;/_accession_num&gt;&lt;_author_adr&gt;Centro Nacional de Biotecnologia-CSIC, Madrid, Spain.&lt;/_author_adr&gt;&lt;_created&gt;60041437&lt;/_created&gt;&lt;_date&gt;51716160&lt;/_date&gt;&lt;_date_display&gt;1998 May&lt;/_date_display&gt;&lt;_db_updated&gt;PubMed&lt;/_db_updated&gt;&lt;_issue&gt;3&lt;/_issue&gt;&lt;_journal&gt;Plant J&lt;/_journal&gt;&lt;_keywords&gt;Amino Acid Sequence; Arabidopsis/*genetics; Base Sequence; DNA, Plant; DNA-Binding Proteins/*genetics/metabolism; *Genes, Regulator; *Genome, Plant; Molecular Sequence Data; Phylogeny; Sequence Homology, Amino Acid; Transcription Factors/*genetics/metabolism&lt;/_keywords&gt;&lt;_language&gt;eng&lt;/_language&gt;&lt;_modified&gt;60041441&lt;/_modified&gt;&lt;_pages&gt;273-84&lt;/_pages&gt;&lt;_type_work&gt;Journal Article; Research Support, Non-U.S. Gov&amp;apos;t&lt;/_type_work&gt;&lt;_url&gt;http://www.ncbi.nlm.nih.gov/entrez/query.fcgi?cmd=Retrieve&amp;amp;db=pubmed&amp;amp;dopt=Abstract&amp;amp;list_uids=9628022&amp;amp;query_hl=1&lt;/_url&gt;&lt;_volume&gt;14&lt;/_volume&gt;&lt;/Details&gt;&lt;Extra&gt;&lt;DBUID&gt;{EDEA4BC4-0457-43F1-8F42-A2410C0142AC}&lt;/DBUID&gt;&lt;/Extra&gt;&lt;/Item&gt;&lt;/References&gt;&lt;/Group&gt;&lt;/Citation&gt;_x000a_"/>
    <w:docVar w:name="NE.Ref{6E869F7F-7F97-4531-908A-974BF04B1183}" w:val=" ADDIN NE.Ref.{6E869F7F-7F97-4531-908A-974BF04B1183} ADDIN NE.Ref.{6E869F7F-7F97-4531-908A-974BF04B1183}&lt;Citation&gt;&lt;Group&gt;&lt;References&gt;&lt;Item&gt;&lt;ID&gt;169&lt;/ID&gt;&lt;UID&gt;{EE3C4175-20EF-4850-9EC9-E09D361E248B}&lt;/UID&gt;&lt;Title&gt;An Arabidopsis myb homolog is induced by dehydration stress and its gene product  binds to the conserved MYB recognition sequence&lt;/Title&gt;&lt;Template&gt;Journal Article&lt;/Template&gt;&lt;Star&gt;0&lt;/Star&gt;&lt;Tag&gt;0&lt;/Tag&gt;&lt;Author&gt;Urao, T; Yamaguchi-Shinozaki, K; Urao, S; Shinozaki, K&lt;/Author&gt;&lt;Year&gt;1993&lt;/Year&gt;&lt;Details&gt;&lt;_accessed&gt;60041441&lt;/_accessed&gt;&lt;_accession_num&gt;8312738&lt;/_accession_num&gt;&lt;_author_adr&gt;Institute of Physical and Chemical Research (RIKEN), Tsukuba Life Science Center, Ibaraki, Japan.&lt;/_author_adr&gt;&lt;_created&gt;60041440&lt;/_created&gt;&lt;_date&gt;49351680&lt;/_date&gt;&lt;_date_display&gt;1993 Nov&lt;/_date_display&gt;&lt;_db_updated&gt;PubMed&lt;/_db_updated&gt;&lt;_doi&gt;10.1105/tpc.5.11.1529&lt;/_doi&gt;&lt;_issue&gt;11&lt;/_issue&gt;&lt;_journal&gt;Plant Cell&lt;/_journal&gt;&lt;_keywords&gt;Abscisic Acid/pharmacology; Amino Acid Sequence; Arabidopsis/*genetics; *Arabidopsis Proteins; Base Sequence; Cloning, Molecular; Cold Temperature; Conserved Sequence; DNA-Binding Proteins/chemistry; Desiccation; Escherichia coli/genetics; *Gene Expression Regulation/drug effects; Genetic Vectors; Hot Temperature; Molecular Sequence Data; *Oncogenes; Plant Proteins/chemistry/*genetics; Protein Binding; Proto-Oncogene Proteins/*genetics; Proto-Oncogene Proteins c-myb; Recombinant Fusion Proteins/chemistry; Salts; Sequence Analysis, DNA; Trans-Activators/chemistry/*genetics&lt;/_keywords&gt;&lt;_language&gt;eng&lt;/_language&gt;&lt;_modified&gt;60041441&lt;/_modified&gt;&lt;_pages&gt;1529-39&lt;/_pages&gt;&lt;_type_work&gt;Journal Article; Research Support, Non-U.S. Gov&amp;apos;t&lt;/_type_work&gt;&lt;_url&gt;http://www.ncbi.nlm.nih.gov/entrez/query.fcgi?cmd=Retrieve&amp;amp;db=pubmed&amp;amp;dopt=Abstract&amp;amp;list_uids=8312738&amp;amp;query_hl=1&lt;/_url&gt;&lt;_volume&gt;5&lt;/_volume&gt;&lt;/Details&gt;&lt;Extra&gt;&lt;DBUID&gt;{EDEA4BC4-0457-43F1-8F42-A2410C0142AC}&lt;/DBUID&gt;&lt;/Extra&gt;&lt;/Item&gt;&lt;/References&gt;&lt;/Group&gt;&lt;/Citation&gt;_x000a_"/>
    <w:docVar w:name="NE.Ref{6F7A2A51-D0D4-4FF0-ACF3-60526EC781E3}" w:val=" ADDIN NE.Ref.{6F7A2A51-D0D4-4FF0-ACF3-60526EC781E3} ADDIN NE.Ref.{6F7A2A51-D0D4-4FF0-ACF3-60526EC781E3}&lt;Citation&gt;&lt;Group&gt;&lt;References&gt;&lt;Item&gt;&lt;ID&gt;179&lt;/ID&gt;&lt;UID&gt;{641E91C2-8C46-4F75-B874-F03153259FDE}&lt;/UID&gt;&lt;Title&gt;DNA and redox state induced conformational changes in the DNA-binding domain of the Myb oncoprotein&lt;/Title&gt;&lt;Template&gt;Journal Article&lt;/Template&gt;&lt;Star&gt;0&lt;/Star&gt;&lt;Tag&gt;0&lt;/Tag&gt;&lt;Author&gt;Myrset, A H; Bostad, A; Jamin, N; Lirsac, P N; Toma, F; Gabrielsen, O S&lt;/Author&gt;&lt;Year&gt;1993&lt;/Year&gt;&lt;Details&gt;&lt;_accessed&gt;60041541&lt;/_accessed&gt;&lt;_accession_num&gt;8223472&lt;/_accession_num&gt;&lt;_author_adr&gt;Department of Biochemistry, University of Oslo, Norway.&lt;/_author_adr&gt;&lt;_created&gt;60041538&lt;/_created&gt;&lt;_date&gt;49394880&lt;/_date&gt;&lt;_date_display&gt;1993 Dec&lt;/_date_display&gt;&lt;_db_updated&gt;PubMed&lt;/_db_updated&gt;&lt;_issue&gt;12&lt;/_issue&gt;&lt;_journal&gt;EMBO J&lt;/_journal&gt;&lt;_keywords&gt;Amino Acid Sequence; Animals; Base Sequence; Chickens; Circular Dichroism; DNA/*metabolism; *Helix-Loop-Helix Motifs; Magnetic Resonance Spectroscopy; Molecular Sequence Data; Mutagenesis, Site-Directed; Oncogene Proteins v-myb; Oxidation-Reduction; Protein Binding; Repetitive Sequences, Nucleic Acid; Retroviridae Proteins, Oncogenic/chemistry/*metabolism&lt;/_keywords&gt;&lt;_language&gt;eng&lt;/_language&gt;&lt;_modified&gt;60041541&lt;/_modified&gt;&lt;_pages&gt;4625-33&lt;/_pages&gt;&lt;_type_work&gt;Journal Article; Research Support, Non-U.S. Gov&amp;apos;t&lt;/_type_work&gt;&lt;_url&gt;http://www.ncbi.nlm.nih.gov/entrez/query.fcgi?cmd=Retrieve&amp;amp;db=pubmed&amp;amp;dopt=Abstract&amp;amp;list_uids=8223472&amp;amp;query_hl=1&lt;/_url&gt;&lt;_volume&gt;12&lt;/_volume&gt;&lt;/Details&gt;&lt;Extra&gt;&lt;DBUID&gt;{EDEA4BC4-0457-43F1-8F42-A2410C0142AC}&lt;/DBUID&gt;&lt;/Extra&gt;&lt;/Item&gt;&lt;/References&gt;&lt;/Group&gt;&lt;/Citation&gt;_x000a_"/>
    <w:docVar w:name="NE.Ref{6FA7847E-735C-40CE-B489-95099E6EF4EF}" w:val=" ADDIN NE.Ref.{6FA7847E-735C-40CE-B489-95099E6EF4EF} ADDIN NE.Ref.{6FA7847E-735C-40CE-B489-95099E6EF4EF}&lt;Citation&gt;&lt;Group&gt;&lt;References&gt;&lt;Item&gt;&lt;ID&gt;172&lt;/ID&gt;&lt;UID&gt;{84E24305-207F-4A24-A772-0093909B9101}&lt;/UID&gt;&lt;Title&gt;AtMYB2 transcription factor can interact with the CMO promoter and regulate its downstream gene expression&lt;/Title&gt;&lt;Template&gt;Journal Article&lt;/Template&gt;&lt;Star&gt;0&lt;/Star&gt;&lt;Tag&gt;0&lt;/Tag&gt;&lt;Author&gt;Yu, L; Chen, H; Guan, Q; Ma, X; Zheng, X; Zou, C; Li, Q&lt;/Author&gt;&lt;Year&gt;2012&lt;/Year&gt;&lt;Details&gt;&lt;_accessed&gt;60041548&lt;/_accessed&gt;&lt;_accession_num&gt;22714268&lt;/_accession_num&gt;&lt;_author_adr&gt;College of Life Sciences, Liaoning Normal University, 1 South Liushu Street, Ganjingzi District, Dalian 116081, Liaoning, China.&lt;/_author_adr&gt;&lt;_created&gt;60041445&lt;/_created&gt;&lt;_date&gt;59257440&lt;/_date&gt;&lt;_date_display&gt;2012 Sep&lt;/_date_display&gt;&lt;_db_updated&gt;PubMed&lt;/_db_updated&gt;&lt;_doi&gt;10.1007/s10529-012-0961-0&lt;/_doi&gt;&lt;_issue&gt;9&lt;/_issue&gt;&lt;_journal&gt;Biotechnol Lett&lt;/_journal&gt;&lt;_keywords&gt;Arabidopsis/*genetics; Arabidopsis Proteins/*metabolism; Cloning, Molecular; DNA, Plant/metabolism; Electrophoretic Mobility Shift Assay; Escherichia coli/genetics; *Gene Expression Regulation, Plant; Genes, Reporter; Glucuronidase/analysis/genetics; Oxygenases/*biosynthesis; Plants, Genetically Modified; *Promoter Regions, Genetic; Protein Binding; Tobacco/genetics; Trans-Activators/*metabolism&lt;/_keywords&gt;&lt;_language&gt;eng&lt;/_language&gt;&lt;_modified&gt;60041446&lt;/_modified&gt;&lt;_pages&gt;1749-55&lt;/_pages&gt;&lt;_type_work&gt;Journal Article; Research Support, Non-U.S. Gov&amp;apos;t&lt;/_type_work&gt;&lt;_url&gt;http://www.ncbi.nlm.nih.gov/entrez/query.fcgi?cmd=Retrieve&amp;amp;db=pubmed&amp;amp;dopt=Abstract&amp;amp;list_uids=22714268&amp;amp;query_hl=1&lt;/_url&gt;&lt;_volume&gt;34&lt;/_volume&gt;&lt;/Details&gt;&lt;Extra&gt;&lt;DBUID&gt;{EDEA4BC4-0457-43F1-8F42-A2410C0142AC}&lt;/DBUID&gt;&lt;/Extra&gt;&lt;/Item&gt;&lt;/References&gt;&lt;/Group&gt;&lt;/Citation&gt;_x000a_"/>
    <w:docVar w:name="NE.Ref{71E0886B-792F-4967-8F0F-957E6FFFA2FC}" w:val=" ADDIN NE.Ref.{71E0886B-792F-4967-8F0F-957E6FFFA2FC} ADDIN NE.Ref.{71E0886B-792F-4967-8F0F-957E6FFFA2FC}&lt;Citation&gt;&lt;Group&gt;&lt;References&gt;&lt;Item&gt;&lt;ID&gt;167&lt;/ID&gt;&lt;UID&gt;{36046027-729E-4951-8631-AD629074CC56}&lt;/UID&gt;&lt;Title&gt;The interaction between MYB proteins and their target DNA binding sites&lt;/Title&gt;&lt;Template&gt;Journal Article&lt;/Template&gt;&lt;Star&gt;0&lt;/Star&gt;&lt;Tag&gt;0&lt;/Tag&gt;&lt;Author&gt;Prouse, Michael B; Campbell, Malcolm M&lt;/Author&gt;&lt;Year&gt;2012&lt;/Year&gt;&lt;Details&gt;&lt;_accessed&gt;60041441&lt;/_accessed&gt;&lt;_created&gt;60041432&lt;/_created&gt;&lt;_db_updated&gt;GoogleScholar&lt;/_db_updated&gt;&lt;_issue&gt;1&lt;/_issue&gt;&lt;_journal&gt;Biochimica et Biophysica Acta (BBA)-Gene Regulatory Mechanisms&lt;/_journal&gt;&lt;_modified&gt;60041441&lt;/_modified&gt;&lt;_pages&gt;67--77&lt;/_pages&gt;&lt;_volume&gt;1819&lt;/_volume&gt;&lt;/Details&gt;&lt;Extra&gt;&lt;DBUID&gt;{EDEA4BC4-0457-43F1-8F42-A2410C0142AC}&lt;/DBUID&gt;&lt;/Extra&gt;&lt;/Item&gt;&lt;/References&gt;&lt;/Group&gt;&lt;/Citation&gt;_x000a_"/>
    <w:docVar w:name="NE.Ref{740B3E17-99D1-45D6-BA23-84F6D19C90F6}" w:val=" ADDIN NE.Ref.{740B3E17-99D1-45D6-BA23-84F6D19C90F6} ADDIN NE.Ref.{740B3E17-99D1-45D6-BA23-84F6D19C90F6}&lt;Citation&gt;&lt;Group&gt;&lt;References&gt;&lt;Item&gt;&lt;ID&gt;180&lt;/ID&gt;&lt;UID&gt;{7A6E05F6-4DD5-4BF5-B595-F7D71841CE33}&lt;/UID&gt;&lt;Title&gt;Two cysteines in plant R2R3 MYB domains participate in REDOX-dependent DNA binding&lt;/Title&gt;&lt;Template&gt;Journal Article&lt;/Template&gt;&lt;Star&gt;0&lt;/Star&gt;&lt;Tag&gt;0&lt;/Tag&gt;&lt;Author&gt;Heine, G F; Hernandez, J M; Grotewold, E&lt;/Author&gt;&lt;Year&gt;2004&lt;/Year&gt;&lt;Details&gt;&lt;_accessed&gt;60041587&lt;/_accessed&gt;&lt;_created&gt;60041538&lt;/_created&gt;&lt;_modified&gt;60041587&lt;/_modified&gt;&lt;_url&gt;http://www.ncbi.nlm.nih.gov/entrez/query.fcgi?cmd=Retrieve&amp;amp;db=pubmed&amp;amp;dopt=Abstract&amp;amp;list_uids=15237103&amp;amp;query_hl=1&lt;/_url&gt;&lt;_journal&gt;J Biol Chem&lt;/_journal&gt;&lt;_volume&gt;279&lt;/_volume&gt;&lt;_issue&gt;36&lt;/_issue&gt;&lt;_pages&gt;37878-85&lt;/_pages&gt;&lt;_doi&gt;10.1074/jbc.M405166200&lt;/_doi&gt;&lt;_date_display&gt;2004 Sep 3&lt;/_date_display&gt;&lt;_date&gt;55052640&lt;/_date&gt;&lt;_type_work&gt;Journal Article; Research Support, Non-U.S. Gov&amp;apos;t&lt;/_type_work&gt;&lt;_accession_num&gt;15237103&lt;/_accession_num&gt;&lt;_keywords&gt;Amino Acid Sequence; Arabidopsis Proteins/*chemistry/metabolism; Base Sequence; Cysteine/*physiology; DNA, Plant/chemistry/*metabolism; Disulfides/metabolism; Fluorescent Dyes; Molecular Sequence Data; Oxidation-Reduction; Protein Binding; Recombinant Proteins/chemistry/metabolism; Sequence Homology, Amino Acid; Transcription Factors/*chemistry/metabolism&lt;/_keywords&gt;&lt;_author_adr&gt;Department of Plant Cellular and Molecular Biology and Plant Biotechnology Center, The Ohio State University, Columbus, Ohio 43210, USA.&lt;/_author_adr&gt;&lt;_language&gt;eng&lt;/_language&gt;&lt;_db_updated&gt;PubMed&lt;/_db_updated&gt;&lt;/Details&gt;&lt;Extra&gt;&lt;DBUID&gt;{EDEA4BC4-0457-43F1-8F42-A2410C0142AC}&lt;/DBUID&gt;&lt;/Extra&gt;&lt;/Item&gt;&lt;/References&gt;&lt;/Group&gt;&lt;/Citation&gt;_x000a_"/>
    <w:docVar w:name="NE.Ref{76D44601-8390-414B-BA8D-86D3E85A7C48}" w:val=" ADDIN NE.Ref.{76D44601-8390-414B-BA8D-86D3E85A7C48} ADDIN NE.Ref.{76D44601-8390-414B-BA8D-86D3E85A7C48}&lt;Citation&gt;&lt;Group&gt;&lt;References&gt;&lt;Item&gt;&lt;ID&gt;155&lt;/ID&gt;&lt;UID&gt;{D320E546-4237-4F28-BF14-34B1A78E6C0D}&lt;/UID&gt;&lt;Title&gt;A wheat R2R3-MYB gene, TaMYB30-B, improves drought stress tolerance in transgenic Arabidopsis&lt;/Title&gt;&lt;Template&gt;Journal Article&lt;/Template&gt;&lt;Star&gt;0&lt;/Star&gt;&lt;Tag&gt;0&lt;/Tag&gt;&lt;Author&gt;Zhang, L; Zhao, G; Xia, C; Jia, J; Liu, X; Kong, X&lt;/Author&gt;&lt;Year&gt;2012&lt;/Year&gt;&lt;Details&gt;&lt;_accessed&gt;60041390&lt;/_accessed&gt;&lt;_accession_num&gt;23048128&lt;/_accession_num&gt;&lt;_author_adr&gt;Key Laboratory of Crop Germplasm Resources and Utilization, Ministry of Agriculture, The National Key Facility for Crop Gene Resources and Genetic Improvement, Institute of Crop Science, Chinese Academy of Agricultural Sciences, Beijing 100081, China.&lt;/_author_adr&gt;&lt;_created&gt;60041388&lt;/_created&gt;&lt;_date&gt;59300640&lt;/_date&gt;&lt;_date_display&gt;2012 Oct&lt;/_date_display&gt;&lt;_db_updated&gt;PubMed&lt;/_db_updated&gt;&lt;_doi&gt;10.1093/jxb/ers237&lt;/_doi&gt;&lt;_issue&gt;16&lt;/_issue&gt;&lt;_journal&gt;J Exp Bot&lt;/_journal&gt;&lt;_keywords&gt;Amino Acid Sequence; Arabidopsis/genetics/*physiology; Droughts; Gene Expression; Gene Expression Regulation, Plant; Molecular Sequence Data; Phylogeny; Plant Proteins/*genetics/*metabolism; Plants/classification/genetics; Plants, Genetically Modified/genetics/*physiology; Triticum/classification/*genetics/metabolism&lt;/_keywords&gt;&lt;_language&gt;eng&lt;/_language&gt;&lt;_modified&gt;60041390&lt;/_modified&gt;&lt;_pages&gt;5873-85&lt;/_pages&gt;&lt;_type_work&gt;Journal Article; Research Support, Non-U.S. Gov&amp;apos;t&lt;/_type_work&gt;&lt;_url&gt;http://www.ncbi.nlm.nih.gov/entrez/query.fcgi?cmd=Retrieve&amp;amp;db=pubmed&amp;amp;dopt=Abstract&amp;amp;list_uids=23048128&amp;amp;query_hl=1&lt;/_url&gt;&lt;_volume&gt;63&lt;/_volume&gt;&lt;/Details&gt;&lt;Extra&gt;&lt;DBUID&gt;{EDEA4BC4-0457-43F1-8F42-A2410C0142AC}&lt;/DBUID&gt;&lt;/Extra&gt;&lt;/Item&gt;&lt;/References&gt;&lt;/Group&gt;&lt;/Citation&gt;_x000a_"/>
    <w:docVar w:name="NE.Ref{77C529F7-76BC-4C58-B038-9A8FA5339B14}" w:val=" ADDIN NE.Ref.{77C529F7-76BC-4C58-B038-9A8FA5339B14} ADDIN NE.Ref.{77C529F7-76BC-4C58-B038-9A8FA5339B14}&lt;Citation&gt;&lt;Group&gt;&lt;References&gt;&lt;Item&gt;&lt;ID&gt;162&lt;/ID&gt;&lt;UID&gt;{0663198D-3EA9-4C40-9A8F-94EADE439320}&lt;/UID&gt;&lt;Title&gt;A MYB transcription factor from the grey mangrove is induced by stress and confers NaCl tolerance in tobacco&lt;/Title&gt;&lt;Template&gt;Journal Article&lt;/Template&gt;&lt;Star&gt;0&lt;/Star&gt;&lt;Tag&gt;0&lt;/Tag&gt;&lt;Author&gt;Ganesan, G; Sankararamasubramanian, H M; Harikrishnan, M; Ganpudi, A; Parida, A&lt;/Author&gt;&lt;Year&gt;2012&lt;/Year&gt;&lt;Details&gt;&lt;_accessed&gt;60041406&lt;/_accessed&gt;&lt;_accession_num&gt;22904269&lt;/_accession_num&gt;&lt;_author_adr&gt;M. S. Swaminathan Research Foundation, Biotechnology, Taramani, Chennai 600113, India.&lt;/_author_adr&gt;&lt;_created&gt;60041401&lt;/_created&gt;&lt;_date&gt;59168160&lt;/_date&gt;&lt;_date_display&gt;2012 Jul&lt;/_date_display&gt;&lt;_db_updated&gt;PubMed&lt;/_db_updated&gt;&lt;_doi&gt;10.1093/jxb/ers135&lt;/_doi&gt;&lt;_issue&gt;12&lt;/_issue&gt;&lt;_journal&gt;J Exp Bot&lt;/_journal&gt;&lt;_keywords&gt;Abscisic Acid/pharmacology; Amino Acid Sequence; Avicennia/drug effects/*genetics/physiology; Gene Expression Regulation, Plant/*drug effects/genetics; Light; Molecular Sequence Data; Plant Leaves/drug effects/genetics/metabolism/radiation effects; Plant Proteins/genetics/metabolism; Plant Roots/drug effects/genetics/metabolism/radiation effects; Plant Stems/drug effects/genetics/metabolism/radiation effects; Plants, Genetically Modified; Promoter Regions, Genetic/genetics; Protein Structure, Tertiary; Recombinant Fusion Proteins; Saccharomyces cerevisiae/genetics/metabolism; Salt-Tolerance; Seedling/drug effects/genetics/metabolism/radiation effects; Seeds/drug effects/genetics/metabolism/radiation effects; Sequence Alignment; Sodium Chloride/*pharmacology; Stress, Physiological; Tobacco/drug effects/genetics/*physiology/radiation effects; Transcription Factors/genetics/*metabolism; Transcriptional Activation&lt;/_keywords&gt;&lt;_language&gt;eng&lt;/_language&gt;&lt;_modified&gt;60041406&lt;/_modified&gt;&lt;_pages&gt;4549-61&lt;/_pages&gt;&lt;_type_work&gt;Journal Article; Research Support, Non-U.S. Gov&amp;apos;t&lt;/_type_work&gt;&lt;_url&gt;http://www.ncbi.nlm.nih.gov/entrez/query.fcgi?cmd=Retrieve&amp;amp;db=pubmed&amp;amp;dopt=Abstract&amp;amp;list_uids=22904269&amp;amp;query_hl=1&lt;/_url&gt;&lt;_volume&gt;63&lt;/_volume&gt;&lt;/Details&gt;&lt;Extra&gt;&lt;DBUID&gt;{EDEA4BC4-0457-43F1-8F42-A2410C0142AC}&lt;/DBUID&gt;&lt;/Extra&gt;&lt;/Item&gt;&lt;/References&gt;&lt;/Group&gt;&lt;/Citation&gt;_x000a_"/>
    <w:docVar w:name="NE.Ref{784A98A8-8372-4E94-B1B9-EAFC031C17A1}" w:val=" ADDIN NE.Ref.{784A98A8-8372-4E94-B1B9-EAFC031C17A1} ADDIN NE.Ref.{784A98A8-8372-4E94-B1B9-EAFC031C17A1}&lt;Citation&gt;&lt;Group&gt;&lt;References&gt;&lt;Item&gt;&lt;ID&gt;137&lt;/ID&gt;&lt;UID&gt;{BBF3633B-4FBE-41B6-91F3-9009BF121DD4}&lt;/UID&gt;&lt;Title&gt;Nucleotide sequence of the retroviral leukemia gene v-myb and its cellular progenitor c-myb: the architecture of a transduced oncogene&lt;/Title&gt;&lt;Template&gt;Journal Article&lt;/Template&gt;&lt;Star&gt;0&lt;/Star&gt;&lt;Tag&gt;0&lt;/Tag&gt;&lt;Author&gt;Klempnauer, K H; Gonda, T J; Bishop, J M&lt;/Author&gt;&lt;Year&gt;1982&lt;/Year&gt;&lt;Details&gt;&lt;_accessed&gt;60027488&lt;/_accessed&gt;&lt;_accession_num&gt;6297766&lt;/_accession_num&gt;&lt;_created&gt;60027486&lt;/_created&gt;&lt;_date&gt;43608960&lt;/_date&gt;&lt;_date_display&gt;1982 Dec&lt;/_date_display&gt;&lt;_db_updated&gt;PubMed&lt;/_db_updated&gt;&lt;_issue&gt;2 Pt 1&lt;/_issue&gt;&lt;_journal&gt;Cell&lt;/_journal&gt;&lt;_keywords&gt;Animals; Avian leukosis virus/*genetics; Avian myeloblastosis virus/*genetics; Bacteriophage lambda/genetics; Base Sequence; Chickens; *Cloning, Molecular; DNA Restriction Enzymes; *Genes, Viral; *Oncogenes; *Transduction, Genetic&lt;/_keywords&gt;&lt;_language&gt;eng&lt;/_language&gt;&lt;_modified&gt;60027488&lt;/_modified&gt;&lt;_pages&gt;453-63&lt;/_pages&gt;&lt;_type_work&gt;Journal Article; Research Support, Non-U.S. Gov&amp;apos;t; Research Support, U.S. Gov&amp;apos;t, P.H.S.&lt;/_type_work&gt;&lt;_url&gt;http://www.ncbi.nlm.nih.gov/entrez/query.fcgi?cmd=Retrieve&amp;amp;db=pubmed&amp;amp;dopt=Abstract&amp;amp;list_uids=6297766&amp;amp;query_hl=1&lt;/_url&gt;&lt;_volume&gt;31&lt;/_volume&gt;&lt;/Details&gt;&lt;Extra&gt;&lt;DBUID&gt;{EDEA4BC4-0457-43F1-8F42-A2410C0142AC}&lt;/DBUID&gt;&lt;/Extra&gt;&lt;/Item&gt;&lt;/References&gt;&lt;/Group&gt;&lt;/Citation&gt;_x000a_"/>
    <w:docVar w:name="NE.Ref{79132423-4307-46CA-A6C5-3BE9664FCFC7}" w:val=" ADDIN NE.Ref.{79132423-4307-46CA-A6C5-3BE9664FCFC7} ADDIN NE.Ref.{79132423-4307-46CA-A6C5-3BE9664FCFC7}&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7CC346BD-8E5A-477C-A877-4C275216C0A1}" w:val=" ADDIN NE.Ref.{7CC346BD-8E5A-477C-A877-4C275216C0A1} ADDIN NE.Ref.{7CC346BD-8E5A-477C-A877-4C275216C0A1}&lt;Citation&gt;&lt;Group&gt;&lt;References&gt;&lt;Item&gt;&lt;ID&gt;132&lt;/ID&gt;&lt;UID&gt;{96B3F6F0-BE21-4AC3-8220-339D285222EF}&lt;/UID&gt;&lt;Title&gt;Plant tolerance to drought and salinity: stress regulating transcription factors  and their functional significance in the cellular transcriptional network&lt;/Title&gt;&lt;Template&gt;Journal Article&lt;/Template&gt;&lt;Star&gt;0&lt;/Star&gt;&lt;Tag&gt;0&lt;/Tag&gt;&lt;Author&gt;Golldack, D; Luking, I; Yang, O&lt;/Author&gt;&lt;Year&gt;2011&lt;/Year&gt;&lt;Details&gt;&lt;_accessed&gt;60027385&lt;/_accessed&gt;&lt;_accession_num&gt;21476089&lt;/_accession_num&gt;&lt;_author_adr&gt;Department of Biochemistry and Physiology of Plants, Faculty of Biology, Bielefeld University, 33615, Bielefeld, Germany. dortje.golldack@uni-bielefeld.de&lt;/_author_adr&gt;&lt;_created&gt;60027384&lt;/_created&gt;&lt;_date&gt;58685760&lt;/_date&gt;&lt;_date_display&gt;2011 Aug&lt;/_date_display&gt;&lt;_db_updated&gt;PubMed&lt;/_db_updated&gt;&lt;_doi&gt;10.1007/s00299-011-1068-0&lt;/_doi&gt;&lt;_issue&gt;8&lt;/_issue&gt;&lt;_journal&gt;Plant Cell Rep&lt;/_journal&gt;&lt;_keywords&gt;Adaptation, Physiological; *Droughts; Epigenesis, Genetic; Gene Expression Regulation, Plant; *Gene Regulatory Networks; MicroRNAs/genetics; Plant Proteins/genetics; RNA Interference; Salinity; Salt-Tolerant Plants/*genetics; *Stress, Physiological; Transcription Factors/*genetics&lt;/_keywords&gt;&lt;_language&gt;eng&lt;/_language&gt;&lt;_modified&gt;60027385&lt;/_modified&gt;&lt;_pages&gt;1383-91&lt;/_pages&gt;&lt;_type_work&gt;Journal Article; Research Support, Non-U.S. Gov&amp;apos;t; Review&lt;/_type_work&gt;&lt;_url&gt;http://www.ncbi.nlm.nih.gov/entrez/query.fcgi?cmd=Retrieve&amp;amp;db=pubmed&amp;amp;dopt=Abstract&amp;amp;list_uids=21476089&amp;amp;query_hl=1&lt;/_url&gt;&lt;_volume&gt;30&lt;/_volume&gt;&lt;/Details&gt;&lt;Extra&gt;&lt;DBUID&gt;{EDEA4BC4-0457-43F1-8F42-A2410C0142AC}&lt;/DBUID&gt;&lt;/Extra&gt;&lt;/Item&gt;&lt;/References&gt;&lt;/Group&gt;&lt;/Citation&gt;_x000a_"/>
    <w:docVar w:name="NE.Ref{841FD5B4-ABAC-40FB-86C3-A7D1B89B8E9D}" w:val=" ADDIN NE.Ref.{841FD5B4-ABAC-40FB-86C3-A7D1B89B8E9D} ADDIN NE.Ref.{841FD5B4-ABAC-40FB-86C3-A7D1B89B8E9D}&lt;Citation&gt;&lt;Group&gt;&lt;References&gt;&lt;Item&gt;&lt;ID&gt;139&lt;/ID&gt;&lt;UID&gt;{EDBC350F-8D90-43C5-90CA-2FFF8448D15C}&lt;/UID&gt;&lt;Title&gt;Transgenic expression of TaMYB2A confers enhanced tolerance to multiple abiotic stresses in Arabidopsis&lt;/Title&gt;&lt;Template&gt;Journal Article&lt;/Template&gt;&lt;Star&gt;0&lt;/Star&gt;&lt;Tag&gt;0&lt;/Tag&gt;&lt;Author&gt;Mao, X; Jia, D; Li, A; Zhang, H; Tian, S; Zhang, X; Jia, J; Jing, R&lt;/Author&gt;&lt;Year&gt;2011&lt;/Year&gt;&lt;Details&gt;&lt;_accessed&gt;60028699&lt;/_accessed&gt;&lt;_accession_num&gt;21472467&lt;/_accession_num&gt;&lt;_author_adr&gt;National Key Facility for Crop Gene Resources and Genetic Improvement, Key Lab of Crop Resources and Utilization, MOA, Beijing, People&amp;apos;s Republic of China.&lt;/_author_adr&gt;&lt;_created&gt;60028699&lt;/_created&gt;&lt;_date&gt;58730400&lt;/_date&gt;&lt;_date_display&gt;2011 Sep&lt;/_date_display&gt;&lt;_db_updated&gt;PubMed&lt;/_db_updated&gt;&lt;_doi&gt;10.1007/s10142-011-0218-3&lt;/_doi&gt;&lt;_issue&gt;3&lt;/_issue&gt;&lt;_journal&gt;Funct Integr Genomics&lt;/_journal&gt;&lt;_keywords&gt;Amino Acid Sequence; Arabidopsis/*genetics/growth &amp;amp; development/metabolism; Base Sequence; Cold Temperature; Droughts; Gene Components; Gene Expression; Molecular Sequence Data; Phylogeny; Plant Proteins/*genetics/metabolism; Plants, Genetically Modified/*genetics/growth &amp;amp; development/metabolism; Proline/metabolism; Protein Transport; Salt-Tolerant Plants/genetics; Seedling; Sequence Homology, Amino Acid; Sequence Homology, Nucleic Acid; Sodium Chloride/metabolism; Stress, Physiological; Transcription Factors/*genetics/metabolism; Triticum/genetics; Water/metabolism&lt;/_keywords&gt;&lt;_language&gt;eng&lt;/_language&gt;&lt;_modified&gt;60028699&lt;/_modified&gt;&lt;_pages&gt;445-65&lt;/_pages&gt;&lt;_type_work&gt;Journal Article; Research Support, Non-U.S. Gov&amp;apos;t&lt;/_type_work&gt;&lt;_url&gt;http://www.ncbi.nlm.nih.gov/entrez/query.fcgi?cmd=Retrieve&amp;amp;db=pubmed&amp;amp;dopt=Abstract&amp;amp;list_uids=21472467&amp;amp;query_hl=1&lt;/_url&gt;&lt;_volume&gt;11&lt;/_volume&gt;&lt;/Details&gt;&lt;Extra&gt;&lt;DBUID&gt;{EDEA4BC4-0457-43F1-8F42-A2410C0142AC}&lt;/DBUID&gt;&lt;/Extra&gt;&lt;/Item&gt;&lt;/References&gt;&lt;/Group&gt;&lt;/Citation&gt;_x000a_"/>
    <w:docVar w:name="NE.Ref{849C4D1D-71B5-4A7F-A9F2-F3EBFD16E799}" w:val=" ADDIN NE.Ref.{849C4D1D-71B5-4A7F-A9F2-F3EBFD16E799} ADDIN NE.Ref.{849C4D1D-71B5-4A7F-A9F2-F3EBFD16E799}&lt;Citation&gt;&lt;Group&gt;&lt;References&gt;&lt;Item&gt;&lt;ID&gt;174&lt;/ID&gt;&lt;UID&gt;{CDEE43C3-38F3-4E19-923D-042456A8AAFD}&lt;/UID&gt;&lt;Title&gt;The interaction domains of the plant Myc-like bHLH transcription factors can regulate the transactivation strength&lt;/Title&gt;&lt;Template&gt;Journal Article&lt;/Template&gt;&lt;Star&gt;0&lt;/Star&gt;&lt;Tag&gt;0&lt;/Tag&gt;&lt;Author&gt;Pattanaik, S; Xie, C H; Yuan, L&lt;/Author&gt;&lt;Year&gt;2008&lt;/Year&gt;&lt;Details&gt;&lt;_accessed&gt;60041536&lt;/_accessed&gt;&lt;_accession_num&gt;18075757&lt;/_accession_num&gt;&lt;_author_adr&gt;Department of Plant and Soil Sciences and the Kentucky Tobacco Research and Development Center, Lexington, Cooper and University Drives, KY 40546, USA.&lt;/_author_adr&gt;&lt;_created&gt;60041532&lt;/_created&gt;&lt;_date&gt;56846880&lt;/_date&gt;&lt;_date_display&gt;2008 Feb&lt;/_date_display&gt;&lt;_db_updated&gt;PubMed&lt;/_db_updated&gt;&lt;_doi&gt;10.1007/s00425-007-0676-y&lt;/_doi&gt;&lt;_issue&gt;3&lt;/_issue&gt;&lt;_journal&gt;Planta&lt;/_journal&gt;&lt;_keywords&gt;Alanine/genetics/metabolism; Amino Acid Substitution; Anthocyanins/*metabolism; Basic Helix-Loop-Helix Transcription Factors/*genetics/metabolism; Flowers/*metabolism; Gene Expression Regulation, Plant; Lysine/genetics/metabolism; Mutation; Perilla frutescens/genetics; Plant Proteins/*genetics/metabolism; Plants, Genetically Modified/metabolism; Protein Interaction Domains and Motifs/genetics/physiology; Tobacco/*genetics/metabolism; Transcription Factors/*genetics/metabolism; *Transcriptional Activation&lt;/_keywords&gt;&lt;_language&gt;eng&lt;/_language&gt;&lt;_modified&gt;60041536&lt;/_modified&gt;&lt;_pages&gt;707-15&lt;/_pages&gt;&lt;_type_work&gt;Journal Article; Research Support, Non-U.S. Gov&amp;apos;t&lt;/_type_work&gt;&lt;_url&gt;http://www.ncbi.nlm.nih.gov/entrez/query.fcgi?cmd=Retrieve&amp;amp;db=pubmed&amp;amp;dopt=Abstract&amp;amp;list_uids=18075757&amp;amp;query_hl=1&lt;/_url&gt;&lt;_volume&gt;227&lt;/_volume&gt;&lt;/Details&gt;&lt;Extra&gt;&lt;DBUID&gt;{EDEA4BC4-0457-43F1-8F42-A2410C0142AC}&lt;/DBUID&gt;&lt;/Extra&gt;&lt;/Item&gt;&lt;/References&gt;&lt;/Group&gt;&lt;/Citation&gt;_x000a_"/>
    <w:docVar w:name="NE.Ref{87CEF321-26D6-4985-B94B-3A46CE374B19}" w:val=" ADDIN NE.Ref.{87CEF321-26D6-4985-B94B-3A46CE374B19} ADDIN NE.Ref.{87CEF321-26D6-4985-B94B-3A46CE374B19}&lt;Citation&gt;&lt;Group&gt;&lt;References&gt;&lt;Item&gt;&lt;ID&gt;135&lt;/ID&gt;&lt;UID&gt;{F0E48D9E-C2B6-4DC7-BBA0-B208C9C72888}&lt;/UID&gt;&lt;Title&gt;植物次生生长相关MYB转录因子研究进展&lt;/Title&gt;&lt;Template&gt;Journal Article&lt;/Template&gt;&lt;Star&gt;0&lt;/Star&gt;&lt;Tag&gt;0&lt;/Tag&gt;&lt;Author&gt;薛英喜; 魏建华; 姜廷波; 王宏芝&lt;/Author&gt;&lt;Year&gt;2012&lt;/Year&gt;&lt;Details&gt;&lt;_accessed&gt;60027395&lt;/_accessed&gt;&lt;_author_adr&gt;东北林业大学林木遗传育种教育部重点实验室,黑龙江哈尔滨150040 北京农业生物技术研究中心,北京100097&lt;/_author_adr&gt;&lt;_created&gt;60027394&lt;/_created&gt;&lt;_db_provider&gt;重庆维普&lt;/_db_provider&gt;&lt;_db_updated&gt;CQ_VIP&lt;/_db_updated&gt;&lt;_isbn&gt;0517-6611&lt;/_isbn&gt;&lt;_issue&gt;13&lt;/_issue&gt;&lt;_journal&gt;安徽农业科学&lt;/_journal&gt;&lt;_keywords&gt;MYB转录因子; 次生生长转录调控网络; AC顺式作用元件; 转录后修饰; 进化保守性; MYB transcription factors; Transcriptional network of secondary growth; AC cis-elements; Post-transcriptional modification; Ev-olutionary conversation&lt;/_keywords&gt;&lt;_language&gt;Chinese&lt;/_language&gt;&lt;_modified&gt;60027395&lt;/_modified&gt;&lt;_pages&gt;7650-7655&lt;/_pages&gt;&lt;_translated_author&gt;XUE, Ying-xi Et Al&lt;/_translated_author&gt;&lt;_translated_title&gt;Research Advances in the Secondary Growth-associated MYB Transcription Factors in Plants&lt;/_translated_title&gt;&lt;_url&gt;http://2010.cqvip.com/qk/90168X/201213/42023767.html&lt;/_url&gt;&lt;_volume&gt;40&lt;/_volume&gt;&lt;/Details&gt;&lt;Extra&gt;&lt;DBUID&gt;{EDEA4BC4-0457-43F1-8F42-A2410C0142AC}&lt;/DBUID&gt;&lt;/Extra&gt;&lt;/Item&gt;&lt;/References&gt;&lt;/Group&gt;&lt;/Citation&gt;_x000a_"/>
    <w:docVar w:name="NE.Ref{8EF433B2-7DBB-4118-850A-9C44C4ADA1BA}" w:val=" ADDIN NE.Ref.{8EF433B2-7DBB-4118-850A-9C44C4ADA1BA} ADDIN NE.Ref.{8EF433B2-7DBB-4118-850A-9C44C4ADA1BA}&lt;Citation&gt;&lt;Group&gt;&lt;References&gt;&lt;Item&gt;&lt;ID&gt;157&lt;/ID&gt;&lt;UID&gt;{D8050E7C-DCE3-43E4-81DA-00F90ED434BD}&lt;/UID&gt;&lt;Title&gt;A MYB gene from wheat (Triticum aestivum L.) is up-regulated during salt and drought stresses and differentially regulated between salt-tolerant and sensitive genotypes&lt;/Title&gt;&lt;Template&gt;Journal Article&lt;/Template&gt;&lt;Star&gt;0&lt;/Star&gt;&lt;Tag&gt;0&lt;/Tag&gt;&lt;Author&gt;Rahaie, M; Xue, G P; Naghavi, M R; Alizadeh, H; Schenk, P M&lt;/Author&gt;&lt;Year&gt;2010&lt;/Year&gt;&lt;Details&gt;&lt;_accessed&gt;60041393&lt;/_accessed&gt;&lt;_accession_num&gt;20490502&lt;/_accession_num&gt;&lt;_author_adr&gt;School of Biological Sciences, The University of Queensland, St. Lucia, QLD, 4072, Australia.&lt;/_author_adr&gt;&lt;_created&gt;60041391&lt;/_created&gt;&lt;_date&gt;58160160&lt;/_date&gt;&lt;_date_display&gt;2010 Aug&lt;/_date_display&gt;&lt;_db_updated&gt;PubMed&lt;/_db_updated&gt;&lt;_doi&gt;10.1007/s00299-010-0868-y&lt;/_doi&gt;&lt;_issue&gt;8&lt;/_issue&gt;&lt;_journal&gt;Plant Cell Rep&lt;/_journal&gt;&lt;_keywords&gt;Adaptation, Physiological/genetics; Amino Acid Sequence; Droughts; Gene Expression Profiling; Gene Expression Regulation, Plant; *Genes, myb; Genotype; Molecular Sequence Data; Plant Proteins/genetics/*metabolism; RNA, Plant/genetics; Salt-Tolerant Plants/*genetics/metabolism; Sequence Alignment; Sodium Chloride/pharmacology; Stress, Physiological; Transcription Factors/genetics/*metabolism; Triticum/*genetics/metabolism; Up-Regulation&lt;/_keywords&gt;&lt;_language&gt;eng&lt;/_language&gt;&lt;_modified&gt;60041393&lt;/_modified&gt;&lt;_pages&gt;835-44&lt;/_pages&gt;&lt;_type_work&gt;Journal Article; Research Support, Non-U.S. Gov&amp;apos;t&lt;/_type_work&gt;&lt;_url&gt;http://www.ncbi.nlm.nih.gov/entrez/query.fcgi?cmd=Retrieve&amp;amp;db=pubmed&amp;amp;dopt=Abstract&amp;amp;list_uids=20490502&amp;amp;query_hl=1&lt;/_url&gt;&lt;_volume&gt;29&lt;/_volume&gt;&lt;/Details&gt;&lt;Extra&gt;&lt;DBUID&gt;{EDEA4BC4-0457-43F1-8F42-A2410C0142AC}&lt;/DBUID&gt;&lt;/Extra&gt;&lt;/Item&gt;&lt;/References&gt;&lt;/Group&gt;&lt;/Citation&gt;_x000a_"/>
    <w:docVar w:name="NE.Ref{9193C2AD-F0FD-4176-B880-0A1B2C35D40D}" w:val=" ADDIN NE.Ref.{9193C2AD-F0FD-4176-B880-0A1B2C35D40D} ADDIN NE.Ref.{9193C2AD-F0FD-4176-B880-0A1B2C35D40D}&lt;Citation&gt;&lt;Group&gt;&lt;References&gt;&lt;Item&gt;&lt;ID&gt;149&lt;/ID&gt;&lt;UID&gt;{1FC568BF-BADC-47B7-BBE2-BA82E0014CED}&lt;/UID&gt;&lt;Title&gt;Overexpression of AtMYB44 enhances stomatal closure to confer abiotic stress tolerance in transgenic Arabidopsis&lt;/Title&gt;&lt;Template&gt;Journal Article&lt;/Template&gt;&lt;Star&gt;0&lt;/Star&gt;&lt;Tag&gt;0&lt;/Tag&gt;&lt;Author&gt;Jung, C; Seo, J S; Han, S W; Koo, Y J; Kim, C H; Song, S I; Nahm, B H; Choi, Y D; Cheong, J J&lt;/Author&gt;&lt;Year&gt;2008&lt;/Year&gt;&lt;Details&gt;&lt;_accessed&gt;60041375&lt;/_accessed&gt;&lt;_accession_num&gt;18162593&lt;/_accession_num&gt;&lt;_author_adr&gt;Department of Agricultural Biotechnology, Seoul National University, Seoul 151-921, Korea.&lt;/_author_adr&gt;&lt;_created&gt;60041374&lt;/_created&gt;&lt;_date&gt;56846880&lt;/_date&gt;&lt;_date_display&gt;2008 Feb&lt;/_date_display&gt;&lt;_db_updated&gt;PubMed&lt;/_db_updated&gt;&lt;_doi&gt;10.1104/pp.107.110981&lt;/_doi&gt;&lt;_issue&gt;2&lt;/_issue&gt;&lt;_journal&gt;Plant Physiol&lt;/_journal&gt;&lt;_keywords&gt;Arabidopsis/drug effects/genetics/*metabolism; Arabidopsis Proteins/genetics/*metabolism; Gene Expression Profiling; Gene Expression Regulation, Plant/*physiology; Plant Stomata/*metabolism; Plants, Genetically Modified; Sodium Chloride/pharmacology; Transcription Factors/genetics/*metabolism&lt;/_keywords&gt;&lt;_language&gt;eng&lt;/_language&gt;&lt;_modified&gt;60041375&lt;/_modified&gt;&lt;_pages&gt;623-35&lt;/_pages&gt;&lt;_type_work&gt;Journal Article; Research Support, Non-U.S. Gov&amp;apos;t&lt;/_type_work&gt;&lt;_url&gt;http://www.ncbi.nlm.nih.gov/entrez/query.fcgi?cmd=Retrieve&amp;amp;db=pubmed&amp;amp;dopt=Abstract&amp;amp;list_uids=18162593&amp;amp;query_hl=1&lt;/_url&gt;&lt;_volume&gt;146&lt;/_volume&gt;&lt;/Details&gt;&lt;Extra&gt;&lt;DBUID&gt;{EDEA4BC4-0457-43F1-8F42-A2410C0142AC}&lt;/DBUID&gt;&lt;/Extra&gt;&lt;/Item&gt;&lt;/References&gt;&lt;/Group&gt;&lt;/Citation&gt;_x000a_"/>
    <w:docVar w:name="NE.Ref{9D2A6DC5-E0A1-4B57-A1C7-8BA1AAC64BFF}" w:val=" ADDIN NE.Ref.{9D2A6DC5-E0A1-4B57-A1C7-8BA1AAC64BFF} ADDIN NE.Ref.{9D2A6DC5-E0A1-4B57-A1C7-8BA1AAC64BFF}&lt;Citation&gt;&lt;Group&gt;&lt;References&gt;&lt;Item&gt;&lt;ID&gt;153&lt;/ID&gt;&lt;UID&gt;{BC4F00B0-ACCE-4364-B494-F5669E472313}&lt;/UID&gt;&lt;Title&gt;Overexpression of AtMYB52 confers ABA hypersensitivity and drought tolerance&lt;/Title&gt;&lt;Template&gt;Journal Article&lt;/Template&gt;&lt;Star&gt;0&lt;/Star&gt;&lt;Tag&gt;0&lt;/Tag&gt;&lt;Author&gt;Park, M Y; Kang, J Y; Kim, S Y&lt;/Author&gt;&lt;Year&gt;2011&lt;/Year&gt;&lt;Details&gt;&lt;_accessed&gt;60041381&lt;/_accessed&gt;&lt;_accession_num&gt;21399993&lt;/_accession_num&gt;&lt;_author_adr&gt;Department of Molecular Biotechnology and Kumho Life Science Laboratory, College  of Agriculture and Life Sciences, Chonnam National University, Gwangju 500-757, Korea.&lt;/_author_adr&gt;&lt;_created&gt;60041381&lt;/_created&gt;&lt;_date&gt;58553280&lt;/_date&gt;&lt;_date_display&gt;2011 May&lt;/_date_display&gt;&lt;_db_updated&gt;PubMed&lt;/_db_updated&gt;&lt;_doi&gt;10.1007/s10059-011-0300-7&lt;/_doi&gt;&lt;_issue&gt;5&lt;/_issue&gt;&lt;_journal&gt;Mol Cells&lt;/_journal&gt;&lt;_keywords&gt;Abscisic Acid/genetics/metabolism/*physiology; Arabidopsis/genetics/metabolism/*physiology; Arabidopsis Proteins/*biosynthesis/genetics; *Droughts; Gene Expression Regulation, Plant; Phenotype&lt;/_keywords&gt;&lt;_language&gt;eng&lt;/_language&gt;&lt;_modified&gt;60041381&lt;/_modified&gt;&lt;_pages&gt;447-54&lt;/_pages&gt;&lt;_type_work&gt;Journal Article; Research Support, Non-U.S. Gov&amp;apos;t&lt;/_type_work&gt;&lt;_url&gt;http://www.ncbi.nlm.nih.gov/entrez/query.fcgi?cmd=Retrieve&amp;amp;db=pubmed&amp;amp;dopt=Abstract&amp;amp;list_uids=21399993&amp;amp;query_hl=1&lt;/_url&gt;&lt;_volume&gt;31&lt;/_volume&gt;&lt;/Details&gt;&lt;Extra&gt;&lt;DBUID&gt;{EDEA4BC4-0457-43F1-8F42-A2410C0142AC}&lt;/DBUID&gt;&lt;/Extra&gt;&lt;/Item&gt;&lt;/References&gt;&lt;/Group&gt;&lt;/Citation&gt;_x000a_"/>
    <w:docVar w:name="NE.Ref{9E469E3E-853D-4F19-AB2D-C9E37ED02125}" w:val=" ADDIN NE.Ref.{9E469E3E-853D-4F19-AB2D-C9E37ED02125} ADDIN NE.Ref.{9E469E3E-853D-4F19-AB2D-C9E37ED02125}&lt;Citation&gt;&lt;Group&gt;&lt;References&gt;&lt;Item&gt;&lt;ID&gt;176&lt;/ID&gt;&lt;UID&gt;{6C2C189F-FB66-4167-A799-8CD026857BD7}&lt;/UID&gt;&lt;Title&gt;Evolutionary and comparative analysis of MYB and bHLH plant transcription factors&lt;/Title&gt;&lt;Template&gt;Journal Article&lt;/Template&gt;&lt;Star&gt;0&lt;/Star&gt;&lt;Tag&gt;0&lt;/Tag&gt;&lt;Author&gt;Feller, A; Machemer, K; Braun, E L; Grotewold, E&lt;/Author&gt;&lt;Year&gt;2011&lt;/Year&gt;&lt;Details&gt;&lt;_accessed&gt;60041535&lt;/_accessed&gt;&lt;_accession_num&gt;21443626&lt;/_accession_num&gt;&lt;_author_adr&gt;Plant Biotechnology Center and Department of Molecular Genetics, Ohio State University, Columbus, OH 43210, USA.&lt;/_author_adr&gt;&lt;_created&gt;60041534&lt;/_created&gt;&lt;_date&gt;58510080&lt;/_date&gt;&lt;_date_display&gt;2011 Apr&lt;/_date_display&gt;&lt;_db_updated&gt;PubMed&lt;/_db_updated&gt;&lt;_doi&gt;10.1111/j.1365-313X.2010.04459.x&lt;/_doi&gt;&lt;_issue&gt;1&lt;/_issue&gt;&lt;_journal&gt;Plant J&lt;/_journal&gt;&lt;_keywords&gt;Amino Acid Sequence; Arabidopsis/genetics; Basic Helix-Loop-Helix Transcription Factors/*genetics; *Evolution, Molecular; Gene Duplication; Gene Expression Regulation, Plant; Gene Regulatory Networks; *Genes, myb; Molecular Sequence Data; Multigene Family; Plants/*genetics; Proto-Oncogene Proteins c-myb/genetics&lt;/_keywords&gt;&lt;_language&gt;eng&lt;/_language&gt;&lt;_modified&gt;60041535&lt;/_modified&gt;&lt;_ori_publication&gt;(c) 2011 The Authors. The Plant Journal (c) 2011 Blackwell Publishing Ltd.&lt;/_ori_publication&gt;&lt;_pages&gt;94-116&lt;/_pages&gt;&lt;_type_work&gt;Comparative Study; Journal Article; Research Support, U.S. Gov&amp;apos;t, Non-P.H.S.; Review&lt;/_type_work&gt;&lt;_url&gt;http://www.ncbi.nlm.nih.gov/entrez/query.fcgi?cmd=Retrieve&amp;amp;db=pubmed&amp;amp;dopt=Abstract&amp;amp;list_uids=21443626&amp;amp;query_hl=1&lt;/_url&gt;&lt;_volume&gt;66&lt;/_volume&gt;&lt;/Details&gt;&lt;Extra&gt;&lt;DBUID&gt;{EDEA4BC4-0457-43F1-8F42-A2410C0142AC}&lt;/DBUID&gt;&lt;/Extra&gt;&lt;/Item&gt;&lt;/References&gt;&lt;/Group&gt;&lt;/Citation&gt;_x000a_"/>
    <w:docVar w:name="NE.Ref{A5A2886B-E3D0-4D79-923E-FA3291EAE256}" w:val=" ADDIN NE.Ref.{A5A2886B-E3D0-4D79-923E-FA3291EAE256} ADDIN NE.Ref.{A5A2886B-E3D0-4D79-923E-FA3291EAE256}&lt;Citation&gt;&lt;Group&gt;&lt;References&gt;&lt;Item&gt;&lt;ID&gt;165&lt;/ID&gt;&lt;UID&gt;{CB3E1030-713A-40DC-B628-C8D49D4EECF5}&lt;/UID&gt;&lt;Title&gt;Isolation of a subfamily of genes for R2R3-MYB transcription factors showing up-regulated expression under nitrogen nutrient-limited conditions&lt;/Title&gt;&lt;Template&gt;Journal Article&lt;/Template&gt;&lt;Star&gt;0&lt;/Star&gt;&lt;Tag&gt;0&lt;/Tag&gt;&lt;Author&gt;Miyake, K; Ito, T; Senda, M; Ishikawa, R; Harada, T; Niizeki, M; Akada, S&lt;/Author&gt;&lt;Year&gt;2003&lt;/Year&gt;&lt;Details&gt;&lt;_accessed&gt;60041409&lt;/_accessed&gt;&lt;_accession_num&gt;14756320&lt;/_accession_num&gt;&lt;_author_adr&gt;Plant Breeding Laboratory, Faculty of Agriculture, Hirosaki University, Hirosaki, Aomori 036-8561, Japan.&lt;/_author_adr&gt;&lt;_created&gt;60041408&lt;/_created&gt;&lt;_date&gt;54522720&lt;/_date&gt;&lt;_date_display&gt;2003 Sep&lt;/_date_display&gt;&lt;_db_updated&gt;PubMed&lt;/_db_updated&gt;&lt;_doi&gt;10.1023/B:PLAN.0000009296.91149.34&lt;/_doi&gt;&lt;_issue&gt;1-2&lt;/_issue&gt;&lt;_journal&gt;Plant Mol Biol&lt;/_journal&gt;&lt;_keywords&gt;Amino Acid Sequence; Base Sequence; Blotting, Southern; Cloning, Molecular; DNA, Complementary/chemistry/genetics/isolation &amp;amp; purification; DNA, Plant/chemistry/genetics/isolation &amp;amp; purification; Gene Dosage; Gene Expression Regulation, Plant/drug effects; Lotus/drug effects/*genetics/growth &amp;amp; development; Molecular Sequence Data; Multigene Family/*genetics; Nitrates/pharmacology; Nitrogen/*pharmacology; Phylogeny; Plant Proteins/*genetics; Promoter Regions, Genetic/genetics; Proto-Oncogene Proteins c-myb/*genetics; Sequence Alignment; Sequence Analysis, DNA; Sequence Homology, Amino Acid; Sequence Homology, Nucleic Acid; Soybean Proteins/genetics; Soybeans/drug effects/*genetics/growth &amp;amp; development; Transcription Factors/*genetics; Up-Regulation&lt;/_keywords&gt;&lt;_language&gt;eng&lt;/_language&gt;&lt;_modified&gt;60041409&lt;/_modified&gt;&lt;_pages&gt;237-45&lt;/_pages&gt;&lt;_type_work&gt;Journal Article&lt;/_type_work&gt;&lt;_url&gt;http://www.ncbi.nlm.nih.gov/entrez/query.fcgi?cmd=Retrieve&amp;amp;db=pubmed&amp;amp;dopt=Abstract&amp;amp;list_uids=14756320&amp;amp;query_hl=1&lt;/_url&gt;&lt;_volume&gt;53&lt;/_volume&gt;&lt;/Details&gt;&lt;Extra&gt;&lt;DBUID&gt;{EDEA4BC4-0457-43F1-8F42-A2410C0142AC}&lt;/DBUID&gt;&lt;/Extra&gt;&lt;/Item&gt;&lt;/References&gt;&lt;/Group&gt;&lt;/Citation&gt;_x000a_"/>
    <w:docVar w:name="NE.Ref{AC6793D3-B09D-48A0-A38C-E977961471D8}" w:val=" ADDIN NE.Ref.{AC6793D3-B09D-48A0-A38C-E977961471D8} ADDIN NE.Ref.{AC6793D3-B09D-48A0-A38C-E977961471D8}&lt;Citation&gt;&lt;Group&gt;&lt;References&gt;&lt;Item&gt;&lt;ID&gt;144&lt;/ID&gt;&lt;UID&gt;{6B87941B-4580-45A9-9142-D4DA22CE17FF}&lt;/UID&gt;&lt;Title&gt;Differential expression of anthocyanin biosynthetic genes and transcription factor PcMYB10 in pears (Pyrus communis L.)&lt;/Title&gt;&lt;Template&gt;Journal Article&lt;/Template&gt;&lt;Star&gt;0&lt;/Star&gt;&lt;Tag&gt;0&lt;/Tag&gt;&lt;Author&gt;Li, L; Ban, Z J; Li, X H; Wu, M Y; Wang, A L; Jiang, Y Q; Jiang, Y H&lt;/Author&gt;&lt;Year&gt;2012&lt;/Year&gt;&lt;Details&gt;&lt;_accessed&gt;60041363&lt;/_accessed&gt;&lt;_accession_num&gt;23029391&lt;/_accession_num&gt;&lt;_author_adr&gt;Key Laboratory of Food Nutrition and Safety, Ministry of Education, Tianjin University of Science and Technology, People&amp;apos;s Republic of China.&lt;/_author_adr&gt;&lt;_created&gt;60041363&lt;/_created&gt;&lt;_date&gt;58933440&lt;/_date&gt;&lt;_date_display&gt;2012&lt;/_date_display&gt;&lt;_db_updated&gt;PubMed&lt;/_db_updated&gt;&lt;_doi&gt;10.1371/journal.pone.0046070&lt;/_doi&gt;&lt;_issue&gt;9&lt;/_issue&gt;&lt;_journal&gt;PLoS One&lt;/_journal&gt;&lt;_keywords&gt;Anthocyanins/*genetics; Cluster Analysis; Cold Temperature; *Gene Expression Regulation, Plant; Genes, Plant; Plant Proteins/*genetics; Pyrus/*genetics/growth &amp;amp; development; Transcription Factors/*genetics&lt;/_keywords&gt;&lt;_language&gt;eng&lt;/_language&gt;&lt;_modified&gt;60041363&lt;/_modified&gt;&lt;_pages&gt;e46070&lt;/_pages&gt;&lt;_type_work&gt;Journal Article; Research Support, Non-U.S. Gov&amp;apos;t&lt;/_type_work&gt;&lt;_url&gt;http://www.ncbi.nlm.nih.gov/entrez/query.fcgi?cmd=Retrieve&amp;amp;db=pubmed&amp;amp;dopt=Abstract&amp;amp;list_uids=23029391&amp;amp;query_hl=1&lt;/_url&gt;&lt;_volume&gt;7&lt;/_volume&gt;&lt;/Details&gt;&lt;Extra&gt;&lt;DBUID&gt;{EDEA4BC4-0457-43F1-8F42-A2410C0142AC}&lt;/DBUID&gt;&lt;/Extra&gt;&lt;/Item&gt;&lt;/References&gt;&lt;/Group&gt;&lt;/Citation&gt;_x000a_"/>
    <w:docVar w:name="NE.Ref{AD13B640-95E2-45EA-BC7C-C96813090FA5}" w:val=" ADDIN NE.Ref.{AD13B640-95E2-45EA-BC7C-C96813090FA5} ADDIN NE.Ref.{AD13B640-95E2-45EA-BC7C-C96813090FA5}&lt;Citation&gt;&lt;Group&gt;&lt;References&gt;&lt;Item&gt;&lt;ID&gt;163&lt;/ID&gt;&lt;UID&gt;{D11791C6-DDB6-48E2-AB4C-EE85A8986570}&lt;/UID&gt;&lt;Title&gt;Forced expression of Mdmyb10, a myb transcription factor gene from apple, enhances tolerance to osmotic stress in transgenic Arabidopsis&lt;/Title&gt;&lt;Template&gt;Journal Article&lt;/Template&gt;&lt;Star&gt;0&lt;/Star&gt;&lt;Tag&gt;0&lt;/Tag&gt;&lt;Author&gt;Gao, J J; Zhang, Z; Peng, R H; Xiong, A S; Xu, J; Zhu, B; Yao, Q H&lt;/Author&gt;&lt;Year&gt;2011&lt;/Year&gt;&lt;Details&gt;&lt;_accessed&gt;60041406&lt;/_accessed&gt;&lt;_accession_num&gt;20339923&lt;/_accession_num&gt;&lt;_author_adr&gt;College of Horticulture, Nanjing Agricultural University, Nanjing, 210095, China.&lt;/_author_adr&gt;&lt;_created&gt;60041406&lt;/_created&gt;&lt;_date&gt;58380480&lt;/_date&gt;&lt;_date_display&gt;2011 Jan&lt;/_date_display&gt;&lt;_db_updated&gt;PubMed&lt;/_db_updated&gt;&lt;_doi&gt;10.1007/s11033-010-0096-0&lt;/_doi&gt;&lt;_issue&gt;1&lt;/_issue&gt;&lt;_journal&gt;Mol Biol Rep&lt;/_journal&gt;&lt;_keywords&gt;Adaptation, Physiological/*genetics; Arabidopsis/enzymology/*genetics; Chlorophyll/metabolism; Enzyme Assays; Flavonoids/biosynthesis; *Gene Expression; Gene Expression Regulation, Plant; Genes, Plant/*genetics; Genetic Vectors/genetics; Malondialdehyde/metabolism; Malus/*genetics; Osmotic Pressure; Plants, Genetically Modified; Proline/metabolism; Seedling/growth &amp;amp; development; Signal Transduction; Stress, Physiological/*genetics; Transcription Factors/*genetics/metabolism&lt;/_keywords&gt;&lt;_language&gt;eng&lt;/_language&gt;&lt;_modified&gt;60041406&lt;/_modified&gt;&lt;_pages&gt;205-11&lt;/_pages&gt;&lt;_type_work&gt;Journal Article; Research Support, Non-U.S. Gov&amp;apos;t&lt;/_type_work&gt;&lt;_url&gt;http://www.ncbi.nlm.nih.gov/entrez/query.fcgi?cmd=Retrieve&amp;amp;db=pubmed&amp;amp;dopt=Abstract&amp;amp;list_uids=20339923&amp;amp;query_hl=1&lt;/_url&gt;&lt;_volume&gt;38&lt;/_volume&gt;&lt;/Details&gt;&lt;Extra&gt;&lt;DBUID&gt;{EDEA4BC4-0457-43F1-8F42-A2410C0142AC}&lt;/DBUID&gt;&lt;/Extra&gt;&lt;/Item&gt;&lt;/References&gt;&lt;/Group&gt;&lt;/Citation&gt;_x000a_"/>
    <w:docVar w:name="NE.Ref{B65A8F1E-EAB9-416B-99B9-7FC8412FB166}" w:val=" ADDIN NE.Ref.{B65A8F1E-EAB9-416B-99B9-7FC8412FB166} ADDIN NE.Ref.{B65A8F1E-EAB9-416B-99B9-7FC8412FB166}&lt;Citation&gt;&lt;Group&gt;&lt;References&gt;&lt;Item&gt;&lt;ID&gt;167&lt;/ID&gt;&lt;UID&gt;{36046027-729E-4951-8631-AD629074CC56}&lt;/UID&gt;&lt;Title&gt;The interaction between MYB proteins and their target DNA binding sites&lt;/Title&gt;&lt;Template&gt;Journal Article&lt;/Template&gt;&lt;Star&gt;0&lt;/Star&gt;&lt;Tag&gt;0&lt;/Tag&gt;&lt;Author&gt;Prouse, Michael B; Campbell, Malcolm M&lt;/Author&gt;&lt;Year&gt;2012&lt;/Year&gt;&lt;Details&gt;&lt;_accessed&gt;60041441&lt;/_accessed&gt;&lt;_created&gt;60041432&lt;/_created&gt;&lt;_db_updated&gt;GoogleScholar&lt;/_db_updated&gt;&lt;_issue&gt;1&lt;/_issue&gt;&lt;_journal&gt;Biochimica et Biophysica Acta (BBA)-Gene Regulatory Mechanisms&lt;/_journal&gt;&lt;_modified&gt;60041441&lt;/_modified&gt;&lt;_pages&gt;67--77&lt;/_pages&gt;&lt;_volume&gt;1819&lt;/_volume&gt;&lt;/Details&gt;&lt;Extra&gt;&lt;DBUID&gt;{EDEA4BC4-0457-43F1-8F42-A2410C0142AC}&lt;/DBUID&gt;&lt;/Extra&gt;&lt;/Item&gt;&lt;/References&gt;&lt;/Group&gt;&lt;/Citation&gt;_x000a_"/>
    <w:docVar w:name="NE.Ref{BE833C4A-E26F-4D78-8F02-49972F7B013C}" w:val=" ADDIN NE.Ref.{BE833C4A-E26F-4D78-8F02-49972F7B013C} ADDIN NE.Ref.{BE833C4A-E26F-4D78-8F02-49972F7B013C}&lt;Citation&gt;&lt;Group&gt;&lt;References&gt;&lt;Item&gt;&lt;ID&gt;145&lt;/ID&gt;&lt;UID&gt;{FBD64D57-6356-4966-831F-57A1B9D768F2}&lt;/UID&gt;&lt;Title&gt;The rice R2R3-MYB transcription factor OsMYB55 is involved in the tolerance to high temperature and modulates amino acid metabolism&lt;/Title&gt;&lt;Template&gt;Journal Article&lt;/Template&gt;&lt;Star&gt;0&lt;/Star&gt;&lt;Tag&gt;0&lt;/Tag&gt;&lt;Author&gt;El-Kereamy, A; Bi, Y M; Ranathunge, K; Beatty, P H; Good, A G; Rothstein, S J&lt;/Author&gt;&lt;Year&gt;2012&lt;/Year&gt;&lt;Details&gt;&lt;_accessed&gt;60041368&lt;/_accessed&gt;&lt;_accession_num&gt;23251677&lt;/_accession_num&gt;&lt;_author_adr&gt;Department of Molecular and Cellular Biology, University of Guelph, Guelph, Ontario, Canada.&lt;/_author_adr&gt;&lt;_created&gt;60041365&lt;/_created&gt;&lt;_date&gt;58933440&lt;/_date&gt;&lt;_date_display&gt;2012&lt;/_date_display&gt;&lt;_db_updated&gt;PubMed&lt;/_db_updated&gt;&lt;_doi&gt;10.1371/journal.pone.0052030&lt;/_doi&gt;&lt;_issue&gt;12&lt;/_issue&gt;&lt;_journal&gt;PLoS One&lt;/_journal&gt;&lt;_keywords&gt;Amino Acids/genetics/*metabolism; Arginine/genetics/metabolism; Gene Expression Profiling/methods; Gene Expression Regulation, Plant; Glutamic Acid/genetics/metabolism; Heat-Shock Response/genetics/*physiology; Oryza sativa/*genetics/*metabolism; Phylogeny; Plant Proteins/*genetics/metabolism; Promoter Regions, Genetic; Stress, Physiological/genetics/physiology; Temperature; Transcription Factors/*genetics/metabolism; Transcriptional Activation/genetics; Transcriptome; gamma-Aminobutyric Acid/genetics/metabolism&lt;/_keywords&gt;&lt;_language&gt;eng&lt;/_language&gt;&lt;_modified&gt;60041368&lt;/_modified&gt;&lt;_pages&gt;e52030&lt;/_pages&gt;&lt;_type_work&gt;Journal Article; Research Support, Non-U.S. Gov&amp;apos;t&lt;/_type_work&gt;&lt;_url&gt;http://www.ncbi.nlm.nih.gov/entrez/query.fcgi?cmd=Retrieve&amp;amp;db=pubmed&amp;amp;dopt=Abstract&amp;amp;list_uids=23251677&amp;amp;query_hl=1&lt;/_url&gt;&lt;_volume&gt;7&lt;/_volume&gt;&lt;/Details&gt;&lt;Extra&gt;&lt;DBUID&gt;{EDEA4BC4-0457-43F1-8F42-A2410C0142AC}&lt;/DBUID&gt;&lt;/Extra&gt;&lt;/Item&gt;&lt;/References&gt;&lt;/Group&gt;&lt;/Citation&gt;_x000a_"/>
    <w:docVar w:name="NE.Ref{C854A32F-58A4-4689-A68B-CEA8C5B1603C}" w:val=" ADDIN NE.Ref.{C854A32F-58A4-4689-A68B-CEA8C5B1603C} ADDIN NE.Ref.{C854A32F-58A4-4689-A68B-CEA8C5B1603C}&lt;Citation&gt;&lt;Group&gt;&lt;References&gt;&lt;Item&gt;&lt;ID&gt;181&lt;/ID&gt;&lt;UID&gt;{153185D9-CB99-48F1-AF0D-45777869E7CB}&lt;/UID&gt;&lt;Title&gt;Inhibition of AtMYB2 DNA-binding by nitric oxide involves cysteine S-nitrosylation&lt;/Title&gt;&lt;Template&gt;Journal Article&lt;/Template&gt;&lt;Star&gt;0&lt;/Star&gt;&lt;Tag&gt;0&lt;/Tag&gt;&lt;Author&gt;Serpa, V; Vernal, J; Lamattina, L; Grotewold, E; Cassia, R; Terenzi, H&lt;/Author&gt;&lt;Year&gt;2007&lt;/Year&gt;&lt;Details&gt;&lt;_accessed&gt;60041541&lt;/_accessed&gt;&lt;_accession_num&gt;17686455&lt;/_accession_num&gt;&lt;_author_adr&gt;Laboratorio de Expressao Genica, Departamento de Bioquimica, Universidade Federal de Santa Catarina, 88040-900 Florianopolis, SC, Brazil.&lt;/_author_adr&gt;&lt;_created&gt;60041539&lt;/_created&gt;&lt;_date&gt;56675520&lt;/_date&gt;&lt;_date_display&gt;2007 Oct 5&lt;/_date_display&gt;&lt;_db_updated&gt;PubMed&lt;/_db_updated&gt;&lt;_doi&gt;10.1016/j.bbrc.2007.07.133&lt;/_doi&gt;&lt;_issue&gt;4&lt;/_issue&gt;&lt;_journal&gt;Biochem Biophys Res Commun&lt;/_journal&gt;&lt;_keywords&gt;Arabidopsis Proteins/*chemistry/metabolism; Cysteine/*chemistry; DNA/metabolism; DNA-Binding Proteins/chemistry; Nitric Oxide/*chemistry; Nitric Oxide Donors/pharmacology; Nitroprusside/pharmacology; Oxidation-Reduction; Protein Processing, Post-Translational; S-Nitrosoglutathione/pharmacology; Trans-Activators/*chemistry/metabolism&lt;/_keywords&gt;&lt;_language&gt;eng&lt;/_language&gt;&lt;_modified&gt;60041541&lt;/_modified&gt;&lt;_pages&gt;1048-53&lt;/_pages&gt;&lt;_type_work&gt;Journal Article; Research Support, Non-U.S. Gov&amp;apos;t&lt;/_type_work&gt;&lt;_url&gt;http://www.ncbi.nlm.nih.gov/entrez/query.fcgi?cmd=Retrieve&amp;amp;db=pubmed&amp;amp;dopt=Abstract&amp;amp;list_uids=17686455&amp;amp;query_hl=1&lt;/_url&gt;&lt;_volume&gt;361&lt;/_volume&gt;&lt;/Details&gt;&lt;Extra&gt;&lt;DBUID&gt;{EDEA4BC4-0457-43F1-8F42-A2410C0142AC}&lt;/DBUID&gt;&lt;/Extra&gt;&lt;/Item&gt;&lt;/References&gt;&lt;/Group&gt;&lt;/Citation&gt;_x000a_"/>
    <w:docVar w:name="NE.Ref{CCB1B43F-89C3-40C1-A2ED-D72C9804DDE3}" w:val=" ADDIN NE.Ref.{CCB1B43F-89C3-40C1-A2ED-D72C9804DDE3} ADDIN NE.Ref.{CCB1B43F-89C3-40C1-A2ED-D72C9804DDE3}&lt;Citation&gt;&lt;Group&gt;&lt;References&gt;&lt;Item&gt;&lt;ID&gt;161&lt;/ID&gt;&lt;UID&gt;{0EC2257E-2415-41C0-8104-868558775D27}&lt;/UID&gt;&lt;Title&gt;Ectopic expression of a wheat MYB transcription factor gene, TaMYB73, improves salinity stress tolerance in Arabidopsis thaliana&lt;/Title&gt;&lt;Template&gt;Journal Article&lt;/Template&gt;&lt;Star&gt;0&lt;/Star&gt;&lt;Tag&gt;0&lt;/Tag&gt;&lt;Author&gt;He, Y; Li, W; Lv, J; Jia, Y; Wang, M; Xia, G&lt;/Author&gt;&lt;Year&gt;2012&lt;/Year&gt;&lt;Details&gt;&lt;_accessed&gt;60041400&lt;/_accessed&gt;&lt;_accession_num&gt;22140235&lt;/_accession_num&gt;&lt;_author_adr&gt;The Key Laboratory of Plant Cell Engineering and Germplasm Innovation, Ministry of Education, School of Life Science, Shandong University, 27 Shandanan Road, Jinan, Shandong 250100, China.&lt;/_author_adr&gt;&lt;_created&gt;60041400&lt;/_created&gt;&lt;_date&gt;58950720&lt;/_date&gt;&lt;_date_display&gt;2012 Feb&lt;/_date_display&gt;&lt;_db_updated&gt;PubMed&lt;/_db_updated&gt;&lt;_doi&gt;10.1093/jxb/err389&lt;/_doi&gt;&lt;_issue&gt;3&lt;/_issue&gt;&lt;_journal&gt;J Exp Bot&lt;/_journal&gt;&lt;_keywords&gt;Arabidopsis/*drug effects/genetics/*metabolism; Gene Expression Regulation, Plant; Lithium Chloride/pharmacology; Molecular Sequence Data; Plant Proteins/genetics/*metabolism; Plants, Genetically Modified/*drug effects/genetics/*metabolism; Potassium Chloride/pharmacology; Salt-Tolerance/genetics/*physiology; Sodium Chloride/pharmacology; Transcription Factors/genetics/*metabolism; Triticum&lt;/_keywords&gt;&lt;_language&gt;eng&lt;/_language&gt;&lt;_modified&gt;60041400&lt;/_modified&gt;&lt;_pages&gt;1511-22&lt;/_pages&gt;&lt;_type_work&gt;Journal Article; Research Support, Non-U.S. Gov&amp;apos;t&lt;/_type_work&gt;&lt;_url&gt;http://www.ncbi.nlm.nih.gov/entrez/query.fcgi?cmd=Retrieve&amp;amp;db=pubmed&amp;amp;dopt=Abstract&amp;amp;list_uids=22140235&amp;amp;query_hl=1&lt;/_url&gt;&lt;_volume&gt;63&lt;/_volume&gt;&lt;/Details&gt;&lt;Extra&gt;&lt;DBUID&gt;{EDEA4BC4-0457-43F1-8F42-A2410C0142AC}&lt;/DBUID&gt;&lt;/Extra&gt;&lt;/Item&gt;&lt;/References&gt;&lt;/Group&gt;&lt;/Citation&gt;_x000a_"/>
    <w:docVar w:name="NE.Ref{CEC0759D-7ADA-408F-940F-017FB09D1D77}" w:val=" ADDIN NE.Ref.{CEC0759D-7ADA-408F-940F-017FB09D1D77} ADDIN NE.Ref.{CEC0759D-7ADA-408F-940F-017FB09D1D77}&lt;Citation&gt;&lt;Group&gt;&lt;References&gt;&lt;Item&gt;&lt;ID&gt;131&lt;/ID&gt;&lt;UID&gt;{B30403F2-E8DA-481A-A98D-89E279FDEBC9}&lt;/UID&gt;&lt;Title&gt;A R2R3 type MYB transcription factor is involved in the cold regulation of CBF genes and in acquired freezing tolerance&lt;/Title&gt;&lt;Template&gt;Journal Article&lt;/Template&gt;&lt;Star&gt;0&lt;/Star&gt;&lt;Tag&gt;0&lt;/Tag&gt;&lt;Author&gt;Agarwal, M; Hao, Y J; Kapoor, A; Dong, C H; Fujii, H; Zheng, X W; Zhu, J K&lt;/Author&gt;&lt;Year&gt;2006&lt;/Year&gt;&lt;Details&gt;&lt;_accessed&gt;60027374&lt;/_accessed&gt;&lt;_author_adr&gt;Univ Calif Riverside, Dept Bot &amp;amp; Plant Sci, Riverside, CA 92521 USA. Univ Calif Riverside, Inst Integrat Genome Biol, Riverside, CA 92521 USA._x000d__x000a_Zhu, JK (reprint author), Univ Calif Riverside, Dept Bot &amp;amp; Plant Sci, 2150 Batchelor Hall, Riverside, CA 92521 USA._x000d__x000a_E-Mail: jian-kang.zhu@ucr.edu&lt;/_author_adr&gt;&lt;_created&gt;60027372&lt;/_created&gt;&lt;_custom1&gt;J BIOL CHEM_x000d__x000a_J. Biol. Chem.&lt;/_custom1&gt;&lt;_date_display&gt;2006_x000d__x000a_DEC 8&lt;/_date_display&gt;&lt;_db_updated&gt;web_of_knowledge_511&lt;/_db_updated&gt;&lt;_isbn&gt;0021-9258&lt;/_isbn&gt;&lt;_issue&gt;49&lt;/_issue&gt;&lt;_journal&gt;JOURNAL OF BIOLOGICAL CHEMISTRY&lt;/_journal&gt;&lt;_keywords&gt;CIS-ACTING ELEMENT; LOW-TEMPERATURE; ARABIDOPSIS-THALIANA; SALT-STRESS; SIGNAL-TRANSDUCTION; DROSOPHILA EMBRYO; RESPONSE PATHWAY; MEDIATES COLD; ACCLIMATION; EXPRESSION&lt;/_keywords&gt;&lt;_language&gt;English&lt;/_language&gt;&lt;_modified&gt;60027374&lt;/_modified&gt;&lt;_number&gt;WOS:000242477100040&lt;/_number&gt;&lt;_ori_publication&gt;AMER SOC BIOCHEMISTRY MOLECULAR BIOLOGY INC&lt;/_ori_publication&gt;&lt;_pages&gt;37636-37645&lt;/_pages&gt;&lt;_place_published&gt;BETHESDA&lt;/_place_published&gt;&lt;_type_work&gt;Article&lt;/_type_work&gt;&lt;_volume&gt;281&lt;/_volume&gt;&lt;/Details&gt;&lt;Extra&gt;&lt;DBUID&gt;{EDEA4BC4-0457-43F1-8F42-A2410C0142AC}&lt;/DBUID&gt;&lt;/Extra&gt;&lt;/Item&gt;&lt;/References&gt;&lt;/Group&gt;&lt;/Citation&gt;_x000a_"/>
    <w:docVar w:name="NE.Ref{CF930DD7-B99C-4C0B-91F9-9FE5D8E73289}" w:val=" ADDIN NE.Ref.{CF930DD7-B99C-4C0B-91F9-9FE5D8E73289} ADDIN NE.Ref.{CF930DD7-B99C-4C0B-91F9-9FE5D8E73289}&lt;Citation&gt;&lt;Group&gt;&lt;References&gt;&lt;Item&gt;&lt;ID&gt;141&lt;/ID&gt;&lt;UID&gt;{57A62168-A9F8-48DC-828D-5943354C76B4}&lt;/UID&gt;&lt;Title&gt;The R2R3-MYB gene family in Arabidopsis thaliana&lt;/Title&gt;&lt;Template&gt;Journal Article&lt;/Template&gt;&lt;Star&gt;0&lt;/Star&gt;&lt;Tag&gt;0&lt;/Tag&gt;&lt;Author&gt;Stracke, Ralf; Werber, Martin; Weisshaar, Bernd&lt;/Author&gt;&lt;Year&gt;2001&lt;/Year&gt;&lt;Details&gt;&lt;_accessed&gt;60041343&lt;/_accessed&gt;&lt;_cate&gt;Review, Journal Article&lt;/_cate&gt;&lt;_created&gt;60041343&lt;/_created&gt;&lt;_date_display&gt;2001&lt;/_date_display&gt;&lt;_db_updated&gt;PKU Search&lt;/_db_updated&gt;&lt;_doi&gt;10.1016/S1369-5266(00)00199-0&lt;/_doi&gt;&lt;_isbn&gt;1879-0356&lt;/_isbn&gt;&lt;_issue&gt;5&lt;/_issue&gt;&lt;_journal&gt;Current Opinion in Plant Biology&lt;/_journal&gt;&lt;_modified&gt;60041343&lt;/_modified&gt;&lt;_pages&gt;447 - 456&lt;/_pages&gt;&lt;_subject_headings&gt;ranscription factor&lt;/_subject_headings&gt;&lt;_url&gt;http://pku.summon.serialssolutions.com/2.0.0/link/0/eLvHCXMwTZ07CgJBDIYH8QQLWnuBhZnsvLZedhBRsNDGLq89hKc3gxaeIE34-P4Uf5w7hX7N5xonlqiiVNS2hjJBUpm_Rc-vW73eoa3p8kfzNrjdGw_u2dbHch5_zwBGNrpaYGKugr6S8dRr92AohRBKb-RKTJ7zJCig5gQ2ODN6wbhVCbSZQVI4ur0Fav0AlSQm8Q&amp;quot; class=&amp;quot;documentLink; http://dx.doi.org/10.1016/S1369-5266(00)00199-0&lt;/_url&gt;&lt;_volume&gt;4&lt;/_volume&gt;&lt;/Details&gt;&lt;Extra&gt;&lt;DBUID&gt;{EDEA4BC4-0457-43F1-8F42-A2410C0142AC}&lt;/DBUID&gt;&lt;/Extra&gt;&lt;/Item&gt;&lt;/References&gt;&lt;/Group&gt;&lt;/Citation&gt;_x000a_"/>
    <w:docVar w:name="NE.Ref{D47DBC35-0995-4CF6-BB8B-F80267C68DF4}" w:val=" ADDIN NE.Ref.{D47DBC35-0995-4CF6-BB8B-F80267C68DF4} ADDIN NE.Ref.{D47DBC35-0995-4CF6-BB8B-F80267C68DF4}&lt;Citation&gt;&lt;Group&gt;&lt;References&gt;&lt;Item&gt;&lt;ID&gt;160&lt;/ID&gt;&lt;UID&gt;{D47F9C63-DA59-43EA-88AE-3D45E7A9F919}&lt;/UID&gt;&lt;Title&gt;A R2R3-type MYB gene, OsMYB2, is involved in salt, cold, and dehydration tolerance in rice&lt;/Title&gt;&lt;Template&gt;Journal Article&lt;/Template&gt;&lt;Star&gt;0&lt;/Star&gt;&lt;Tag&gt;0&lt;/Tag&gt;&lt;Author&gt;Yang, A; Dai, X; Zhang, W H&lt;/Author&gt;&lt;Year&gt;2012&lt;/Year&gt;&lt;Details&gt;&lt;_accessed&gt;60041400&lt;/_accessed&gt;&lt;_accession_num&gt;22301384&lt;/_accession_num&gt;&lt;_author_adr&gt;State Key Laboratory of Vegetation and Environmental Change, Institute of Botany, the Chinese Academy of Sciences, Beijing 100093, PR China.&lt;/_author_adr&gt;&lt;_created&gt;60041396&lt;/_created&gt;&lt;_date&gt;59037120&lt;/_date&gt;&lt;_date_display&gt;2012 Apr&lt;/_date_display&gt;&lt;_db_updated&gt;PubMed&lt;/_db_updated&gt;&lt;_doi&gt;10.1093/jxb/err431&lt;/_doi&gt;&lt;_issue&gt;7&lt;/_issue&gt;&lt;_journal&gt;J Exp Bot&lt;/_journal&gt;&lt;_keywords&gt;Cold Temperature; *Gene Expression Regulation, Plant; Oryza sativa/genetics/*physiology; Plant Proteins/genetics/*metabolism; Salt-Tolerance; Sodium Chloride/metabolism; Transcription Factors/genetics/*metabolism; Water/metabolism&lt;/_keywords&gt;&lt;_language&gt;eng&lt;/_language&gt;&lt;_modified&gt;60041400&lt;/_modified&gt;&lt;_pages&gt;2541-56&lt;/_pages&gt;&lt;_type_work&gt;Journal Article; Research Support, Non-U.S. Gov&amp;apos;t&lt;/_type_work&gt;&lt;_url&gt;http://www.ncbi.nlm.nih.gov/entrez/query.fcgi?cmd=Retrieve&amp;amp;db=pubmed&amp;amp;dopt=Abstract&amp;amp;list_uids=22301384&amp;amp;query_hl=1&lt;/_url&gt;&lt;_volume&gt;63&lt;/_volume&gt;&lt;/Details&gt;&lt;Extra&gt;&lt;DBUID&gt;{EDEA4BC4-0457-43F1-8F42-A2410C0142AC}&lt;/DBUID&gt;&lt;/Extra&gt;&lt;/Item&gt;&lt;/References&gt;&lt;/Group&gt;&lt;/Citation&gt;_x000a_"/>
    <w:docVar w:name="NE.Ref{D556542F-8FC7-47CE-B4AA-7A03443A348B}" w:val=" ADDIN NE.Ref.{D556542F-8FC7-47CE-B4AA-7A03443A348B} ADDIN NE.Ref.{D556542F-8FC7-47CE-B4AA-7A03443A348B}&lt;Citation&gt;&lt;Group&gt;&lt;References&gt;&lt;Item&gt;&lt;ID&gt;173&lt;/ID&gt;&lt;UID&gt;{011F6E50-5509-4CEF-9A35-D4FFB7A44A05}&lt;/UID&gt;&lt;Title&gt;Soybean GmMYB76, GmMYB92, and GmMYB177 genes confer stress tolerance in transgenic Arabidopsis plants&lt;/Title&gt;&lt;Template&gt;Journal Article&lt;/Template&gt;&lt;Star&gt;0&lt;/Star&gt;&lt;Tag&gt;0&lt;/Tag&gt;&lt;Author&gt;Liao, Y; Zou, H F; Wang, H W; Zhang, W K; Ma, B; Zhang, J S; Chen, S Y&lt;/Author&gt;&lt;Year&gt;2008&lt;/Year&gt;&lt;Details&gt;&lt;_accessed&gt;60041446&lt;/_accessed&gt;&lt;_accession_num&gt;18725908&lt;/_accession_num&gt;&lt;_author_adr&gt;Plant Gene Research Center, National Key Lab of Plant Genomics, Institute of Genetics and Developmental Biology, Chinese Academy of Sciences, Beijing 100101,  China.&lt;/_author_adr&gt;&lt;_created&gt;60041446&lt;/_created&gt;&lt;_date&gt;57196800&lt;/_date&gt;&lt;_date_display&gt;2008 Oct&lt;/_date_display&gt;&lt;_db_updated&gt;PubMed&lt;/_db_updated&gt;&lt;_doi&gt;10.1038/cr.2008.280&lt;/_doi&gt;&lt;_issue&gt;10&lt;/_issue&gt;&lt;_journal&gt;Cell Res&lt;/_journal&gt;&lt;_keywords&gt;Abscisic Acid/metabolism; Arabidopsis/classification/*genetics/metabolism; Freezing; Gene Expression Regulation, Plant; Germination/drug effects/genetics; Phylogeny; Plant Growth Regulators/metabolism; Plant Proteins/*genetics/*metabolism; Plants, Genetically Modified/*genetics/metabolism; Proto-Oncogene Proteins c-myb/genetics/*metabolism; Sodium Chloride/metabolism; Soybeans/*genetics/metabolism; Transcriptional Activation/drug effects&lt;/_keywords&gt;&lt;_language&gt;eng&lt;/_language&gt;&lt;_modified&gt;60041446&lt;/_modified&gt;&lt;_pages&gt;1047-60&lt;/_pages&gt;&lt;_type_work&gt;Journal Article; Research Support, Non-U.S. Gov&amp;apos;t&lt;/_type_work&gt;&lt;_url&gt;http://www.ncbi.nlm.nih.gov/entrez/query.fcgi?cmd=Retrieve&amp;amp;db=pubmed&amp;amp;dopt=Abstract&amp;amp;list_uids=18725908&amp;amp;query_hl=1&lt;/_url&gt;&lt;_volume&gt;18&lt;/_volume&gt;&lt;/Details&gt;&lt;Extra&gt;&lt;DBUID&gt;{EDEA4BC4-0457-43F1-8F42-A2410C0142AC}&lt;/DBUID&gt;&lt;/Extra&gt;&lt;/Item&gt;&lt;/References&gt;&lt;/Group&gt;&lt;/Citation&gt;_x000a_"/>
    <w:docVar w:name="NE.Ref{DDA2EC8D-2206-4702-8F8D-9A8661CF7FB0}" w:val=" ADDIN NE.Ref.{DDA2EC8D-2206-4702-8F8D-9A8661CF7FB0} ADDIN NE.Ref.{DDA2EC8D-2206-4702-8F8D-9A8661CF7FB0}&lt;Citation&gt;&lt;Group&gt;&lt;References&gt;&lt;Item&gt;&lt;ID&gt;147&lt;/ID&gt;&lt;UID&gt;{094264B5-8A87-4F2C-AE28-B02B05239581}&lt;/UID&gt;&lt;Title&gt;QsMYB1 expression is modulated in response to heat and drought stresses and during plant recovery in Quercus suber&lt;/Title&gt;&lt;Template&gt;Journal Article&lt;/Template&gt;&lt;Star&gt;0&lt;/Star&gt;&lt;Tag&gt;0&lt;/Tag&gt;&lt;Author&gt;Almeida, T; Pinto, G; Correia, B; Santos, C; Goncalves, S&lt;/Author&gt;&lt;Year&gt;2013&lt;/Year&gt;&lt;Details&gt;&lt;_accessed&gt;60041368&lt;/_accessed&gt;&lt;_accession_num&gt;24161757&lt;/_accession_num&gt;&lt;_author_adr&gt;Centro de Biotecnologia Agricola e Agro-Alimentar do Alentejo (CEBAL)/Instituto Politecnico de Beja (IPBeja), Rua Pedro Soares, 7801-908 Beja, Portugal; Centre for Research in Ceramics &amp;amp; Composite Materials (CICECO), University of Aveiro, Campus Universitario de Santiago, 3810-193 Aveiro, Portugal; Departament of Biology &amp;amp; Centre for Environmental and Marine Studies (CESAM), University of Aveiro, Campus Universitario de Santiago, 3810-193 Aveiro, Portugal. Electronic address: tania.almeida@cebal.pt.&lt;/_author_adr&gt;&lt;_created&gt;60041367&lt;/_created&gt;&lt;_date&gt;59914080&lt;/_date&gt;&lt;_date_display&gt;2013 Dec&lt;/_date_display&gt;&lt;_db_updated&gt;PubMed&lt;/_db_updated&gt;&lt;_doi&gt;10.1016/j.plaphy.2013.10.007&lt;/_doi&gt;&lt;_journal&gt;Plant Physiol Biochem&lt;/_journal&gt;&lt;_keywords&gt;5′-untranslated region; 5′UTR; Abiotic stress; Cork oak; DW; F; F(0); F(m); F(v); F(v)/F(m); FC; FW; Gene expression; MDA; R2R3-MYB; RT-qPCR; RWC; Recovery; TFs; TW; WS; WW; dry weight; field capacity; gDNA; genomic DNA; malondialdehyde; maximum fluorescence; maximum quantum yield of PSII photochemistry; minimum fluorescence; quantum yield of PSII photochemistry; relative water content; reverse transcription quantitative PCR; steady state fluorescence; tissue fresh weight; transcription factors; turgid weight; variable fluorescence; water stress; well watered; Ф(PSII)&lt;/_keywords&gt;&lt;_language&gt;eng&lt;/_language&gt;&lt;_modified&gt;60041368&lt;/_modified&gt;&lt;_ori_publication&gt;Copyright (c) 2013 Elsevier Masson SAS. All rights reserved.&lt;/_ori_publication&gt;&lt;_pages&gt;274-81&lt;/_pages&gt;&lt;_type_work&gt;Journal Article; Research Support, Non-U.S. Gov&amp;apos;t&lt;/_type_work&gt;&lt;_url&gt;http://www.ncbi.nlm.nih.gov/entrez/query.fcgi?cmd=Retrieve&amp;amp;db=pubmed&amp;amp;dopt=Abstract&amp;amp;list_uids=24161757&amp;amp;query_hl=1&lt;/_url&gt;&lt;_volume&gt;73&lt;/_volume&gt;&lt;/Details&gt;&lt;Extra&gt;&lt;DBUID&gt;{EDEA4BC4-0457-43F1-8F42-A2410C0142AC}&lt;/DBUID&gt;&lt;/Extra&gt;&lt;/Item&gt;&lt;/References&gt;&lt;/Group&gt;&lt;/Citation&gt;_x000a_"/>
    <w:docVar w:name="NE.Ref{DF581649-A36F-4C7F-B591-560C7458C25E}" w:val=" ADDIN NE.Ref.{DF581649-A36F-4C7F-B591-560C7458C25E} ADDIN NE.Ref.{DF581649-A36F-4C7F-B591-560C7458C25E}&lt;Citation&gt;&lt;Group&gt;&lt;References&gt;&lt;Item&gt;&lt;ID&gt;134&lt;/ID&gt;&lt;UID&gt;{DA77FB04-FCDF-4C03-99A7-0FAD7976D6DD}&lt;/UID&gt;&lt;Title&gt;Overexpression of the Wounding-Responsive Gene AtMYB15 Activates the Shikimate Pathway in Arabidopsis&lt;/Title&gt;&lt;Template&gt;Journal Article&lt;/Template&gt;&lt;Star&gt;0&lt;/Star&gt;&lt;Tag&gt;0&lt;/Tag&gt;&lt;Author&gt;Chen, Yanhui; Zhang, Xiangbo; Wu, Wei; Chen, Zhangliang; Gu, Hongya; Qu, Li-Jia&lt;/Author&gt;&lt;Year&gt;2006&lt;/Year&gt;&lt;Details&gt;&lt;_accessed&gt;60027410&lt;/_accessed&gt;&lt;_created&gt;60027385&lt;/_created&gt;&lt;_db_updated&gt;GoogleScholar&lt;/_db_updated&gt;&lt;_issue&gt;9&lt;/_issue&gt;&lt;_journal&gt;Journal of Integrative Plant Biology&lt;/_journal&gt;&lt;_modified&gt;60027385&lt;/_modified&gt;&lt;_pages&gt;1084--1095&lt;/_pages&gt;&lt;_volume&gt;48&lt;/_volume&gt;&lt;/Details&gt;&lt;Extra&gt;&lt;DBUID&gt;{EDEA4BC4-0457-43F1-8F42-A2410C0142AC}&lt;/DBUID&gt;&lt;/Extra&gt;&lt;/Item&gt;&lt;/References&gt;&lt;/Group&gt;&lt;/Citation&gt;_x000a_"/>
    <w:docVar w:name="NE.Ref{DFEF89B4-40B8-4E97-AB75-01EEDA5A6D68}" w:val=" ADDIN NE.Ref.{DFEF89B4-40B8-4E97-AB75-01EEDA5A6D68} ADDIN NE.Ref.{DFEF89B4-40B8-4E97-AB75-01EEDA5A6D68}&lt;Citation&gt;&lt;Group&gt;&lt;References&gt;&lt;Item&gt;&lt;ID&gt;140&lt;/ID&gt;&lt;UID&gt;{43A00309-DE7A-498F-BE64-C34FB67768BA}&lt;/UID&gt;&lt;Title&gt;Overexpression of a wheat MYB transcription factor gene, TaMYB56-B, enhances tolerances to freezing and salt stresses in transgenic Arabidopsis&lt;/Title&gt;&lt;Template&gt;Journal Article&lt;/Template&gt;&lt;Star&gt;0&lt;/Star&gt;&lt;Tag&gt;0&lt;/Tag&gt;&lt;Author&gt;Zhang, L; Zhao, G; Xia, C; Jia, J; Liu, X; Kong, X&lt;/Author&gt;&lt;Year&gt;2012&lt;/Year&gt;&lt;Details&gt;&lt;_accessed&gt;60028717&lt;/_accessed&gt;&lt;_accession_num&gt;22634104&lt;/_accession_num&gt;&lt;_author_adr&gt;Key Laboratory of Crop Germplasm Resources and Utilization, Ministry of Agriculture, The National Key Facility for Crop Gene Resources and Genetic Improvement, Institute of Crop Science, Chinese Academy of Agricultural Sciences, Beijing 100081, China. Lichao_zh@yahoo.com.cn&lt;/_author_adr&gt;&lt;_created&gt;60028717&lt;/_created&gt;&lt;_date&gt;59232960&lt;/_date&gt;&lt;_date_display&gt;2012 Aug 15&lt;/_date_display&gt;&lt;_db_updated&gt;PubMed&lt;/_db_updated&gt;&lt;_doi&gt;10.1016/j.gene.2012.05.033&lt;/_doi&gt;&lt;_issue&gt;1&lt;/_issue&gt;&lt;_journal&gt;Gene&lt;/_journal&gt;&lt;_keywords&gt;Chromosomes, Plant/genetics/*metabolism; Cold-Shock Response/*physiology; Freezing; Gene Expression Regulation, Plant/*physiology; Genes, Plant/physiology; Plant Proteins/*biosynthesis/genetics; Transcription Factors/*biosynthesis/genetics; Triticum/genetics/*metabolism&lt;/_keywords&gt;&lt;_language&gt;eng&lt;/_language&gt;&lt;_modified&gt;60028717&lt;/_modified&gt;&lt;_ori_publication&gt;Copyright (c) 2012 Elsevier B.V. All rights reserved.&lt;/_ori_publication&gt;&lt;_pages&gt;100-7&lt;/_pages&gt;&lt;_type_work&gt;Journal Article; Research Support, Non-U.S. Gov&amp;apos;t&lt;/_type_work&gt;&lt;_url&gt;http://www.ncbi.nlm.nih.gov/entrez/query.fcgi?cmd=Retrieve&amp;amp;db=pubmed&amp;amp;dopt=Abstract&amp;amp;list_uids=22634104&amp;amp;query_hl=1&lt;/_url&gt;&lt;_volume&gt;505&lt;/_volume&gt;&lt;/Details&gt;&lt;Extra&gt;&lt;DBUID&gt;{EDEA4BC4-0457-43F1-8F42-A2410C0142AC}&lt;/DBUID&gt;&lt;/Extra&gt;&lt;/Item&gt;&lt;/References&gt;&lt;/Group&gt;&lt;/Citation&gt;_x000a_"/>
    <w:docVar w:name="NE.Ref{E00EB108-9C64-4DE8-9635-FB3768D18BF5}" w:val=" ADDIN NE.Ref.{E00EB108-9C64-4DE8-9635-FB3768D18BF5} ADDIN NE.Ref.{E00EB108-9C64-4DE8-9635-FB3768D18BF5}&lt;Citation&gt;&lt;Group&gt;&lt;References&gt;&lt;Item&gt;&lt;ID&gt;182&lt;/ID&gt;&lt;UID&gt;{D16B0631-838B-4A90-8376-8B467E7D2AC3}&lt;/UID&gt;&lt;Title&gt;Effect of abiotic stress stimuli on S-nitrosoglutathione reductase in plants&lt;/Title&gt;&lt;Template&gt;Journal Article&lt;/Template&gt;&lt;Star&gt;0&lt;/Star&gt;&lt;Tag&gt;0&lt;/Tag&gt;&lt;Author&gt;Kubienova, L; Ticha, T; Jahnova, J; Luhova, L; Mieslerova, B; Petrivalsky, M&lt;/Author&gt;&lt;Year&gt;2014&lt;/Year&gt;&lt;Details&gt;&lt;_accessed&gt;60041541&lt;/_accessed&gt;&lt;_accession_num&gt;24104214&lt;/_accession_num&gt;&lt;_author_adr&gt;Department of Biochemistry, Palacky University in Olomouc, Slechtitelu 11, 78371, Olomouc, Czech Republic.&lt;/_author_adr&gt;&lt;_created&gt;60041540&lt;/_created&gt;&lt;_date&gt;59958720&lt;/_date&gt;&lt;_date_display&gt;2014 Jan&lt;/_date_display&gt;&lt;_db_updated&gt;PubMed&lt;/_db_updated&gt;&lt;_doi&gt;10.1007/s00425-013-1970-5&lt;/_doi&gt;&lt;_issue&gt;1&lt;/_issue&gt;&lt;_journal&gt;Planta&lt;/_journal&gt;&lt;_language&gt;eng&lt;/_language&gt;&lt;_modified&gt;60041541&lt;/_modified&gt;&lt;_pages&gt;139-46&lt;/_pages&gt;&lt;_type_work&gt;Journal Article; Research Support, Non-U.S. Gov&amp;apos;t&lt;/_type_work&gt;&lt;_url&gt;http://www.ncbi.nlm.nih.gov/entrez/query.fcgi?cmd=Retrieve&amp;amp;db=pubmed&amp;amp;dopt=Abstract&amp;amp;list_uids=24104214&amp;amp;query_hl=1&lt;/_url&gt;&lt;_volume&gt;239&lt;/_volume&gt;&lt;/Details&gt;&lt;Extra&gt;&lt;DBUID&gt;{EDEA4BC4-0457-43F1-8F42-A2410C0142AC}&lt;/DBUID&gt;&lt;/Extra&gt;&lt;/Item&gt;&lt;/References&gt;&lt;/Group&gt;&lt;/Citation&gt;_x000a_"/>
    <w:docVar w:name="NE.Ref{E6D53EDB-7487-4A83-B239-AC63D88CFDC0}" w:val=" ADDIN NE.Ref.{E6D53EDB-7487-4A83-B239-AC63D88CFDC0} ADDIN NE.Ref.{E6D53EDB-7487-4A83-B239-AC63D88CFDC0}&lt;Citation&gt;&lt;Group&gt;&lt;References&gt;&lt;Item&gt;&lt;ID&gt;171&lt;/ID&gt;&lt;UID&gt;{7E1420BA-D675-4BE4-9EA6-4323840579A1}&lt;/UID&gt;&lt;Title&gt;Interplay between cold-responsive gene regulation, metabolism and RNA processing  during plant cold acclimation&lt;/Title&gt;&lt;Template&gt;Journal Article&lt;/Template&gt;&lt;Star&gt;0&lt;/Star&gt;&lt;Tag&gt;0&lt;/Tag&gt;&lt;Author&gt;Zhu, J; Dong, C H; Zhu, J K&lt;/Author&gt;&lt;Year&gt;2007&lt;/Year&gt;&lt;Details&gt;&lt;_accessed&gt;60041446&lt;/_accessed&gt;&lt;_accession_num&gt;17468037&lt;/_accession_num&gt;&lt;_author_adr&gt;Department of Botany and Plant Sciences, 2150 Batchelor Hall, University of California-Riverside, California 92521, USA.&lt;/_author_adr&gt;&lt;_created&gt;60041443&lt;/_created&gt;&lt;_date&gt;56494080&lt;/_date&gt;&lt;_date_display&gt;2007 Jun&lt;/_date_display&gt;&lt;_db_updated&gt;PubMed&lt;/_db_updated&gt;&lt;_doi&gt;10.1016/j.pbi.2007.04.010&lt;/_doi&gt;&lt;_issue&gt;3&lt;/_issue&gt;&lt;_journal&gt;Curr Opin Plant Biol&lt;/_journal&gt;&lt;_keywords&gt;Acclimatization/*physiology; Active Transport, Cell Nucleus; Arabidopsis/genetics/*metabolism/physiology; Cell Nucleus/*metabolism; *Cold Temperature; Gene Expression Regulation, Plant; Plant Proteins/metabolism; RNA Processing, Post-Transcriptional; RNA, Plant/*metabolism; Regulon; Transcription, Genetic; Ubiquitin/metabolism&lt;/_keywords&gt;&lt;_language&gt;eng&lt;/_language&gt;&lt;_modified&gt;60041446&lt;/_modified&gt;&lt;_pages&gt;290-5&lt;/_pages&gt;&lt;_type_work&gt;Journal Article; Research Support, N.I.H., Extramural; Research Support, U.S. Gov&amp;apos;t, Non-P.H.S.; Review&lt;/_type_work&gt;&lt;_url&gt;http://www.ncbi.nlm.nih.gov/entrez/query.fcgi?cmd=Retrieve&amp;amp;db=pubmed&amp;amp;dopt=Abstract&amp;amp;list_uids=17468037&amp;amp;query_hl=1&lt;/_url&gt;&lt;_volume&gt;10&lt;/_volume&gt;&lt;/Details&gt;&lt;Extra&gt;&lt;DBUID&gt;{EDEA4BC4-0457-43F1-8F42-A2410C0142AC}&lt;/DBUID&gt;&lt;/Extra&gt;&lt;/Item&gt;&lt;/References&gt;&lt;/Group&gt;&lt;/Citation&gt;_x000a_"/>
    <w:docVar w:name="NE.Ref{E7ABF5D9-1E04-49E8-B871-ED75312AC068}" w:val=" ADDIN NE.Ref.{E7ABF5D9-1E04-49E8-B871-ED75312AC068} ADDIN NE.Ref.{E7ABF5D9-1E04-49E8-B871-ED75312AC068}&lt;Citation&gt;&lt;Group&gt;&lt;References&gt;&lt;Item&gt;&lt;ID&gt;159&lt;/ID&gt;&lt;UID&gt;{A0A36834-E574-43A7-BF9A-661BAEB5C152}&lt;/UID&gt;&lt;Title&gt;Over-expression of TaMYB33 encoding a novel wheat MYB transcription factor increases salt and drought tolerance in Arabidopsis&lt;/Title&gt;&lt;Template&gt;Journal Article&lt;/Template&gt;&lt;Star&gt;0&lt;/Star&gt;&lt;Tag&gt;0&lt;/Tag&gt;&lt;Author&gt;Qin, Y; Wang, M; Tian, Y; He, W; Han, L; Xia, G&lt;/Author&gt;&lt;Year&gt;2012&lt;/Year&gt;&lt;Details&gt;&lt;_accessed&gt;60041401&lt;/_accessed&gt;&lt;_accession_num&gt;22350156&lt;/_accession_num&gt;&lt;_author_adr&gt;Department of Biological Science and Biotechnology, University of Jinan, Jinan, People&amp;apos;s Republic of China. yuxiangqin@126.com&lt;/_author_adr&gt;&lt;_created&gt;60041395&lt;/_created&gt;&lt;_date&gt;59124960&lt;/_date&gt;&lt;_date_display&gt;2012 Jun&lt;/_date_display&gt;&lt;_db_updated&gt;PubMed&lt;/_db_updated&gt;&lt;_doi&gt;10.1007/s11033-012-1550-y&lt;/_doi&gt;&lt;_issue&gt;6&lt;/_issue&gt;&lt;_journal&gt;Mol Biol Rep&lt;/_journal&gt;&lt;_keywords&gt;Amino Acid Sequence; Arabidopsis/genetics/*physiology; Cloning, Molecular; Droughts; Gene Expression Regulation, Plant; Genetic Enhancement; Molecular Sequence Data; Phylogeny; Plant Proteins/biosynthesis/*genetics; Plants, Genetically Modified; Promoter Regions, Genetic; Real-Time Polymerase Chain Reaction; Recombinant Proteins/biosynthesis/genetics; Salt-Tolerance/*genetics; Sequence Analysis, DNA; Stress, Physiological/*genetics; Transcription Factors/biosynthesis/*genetics; Transcription, Genetic; Triticum/*genetics&lt;/_keywords&gt;&lt;_language&gt;eng&lt;/_language&gt;&lt;_modified&gt;60041401&lt;/_modified&gt;&lt;_pages&gt;7183-92&lt;/_pages&gt;&lt;_type_work&gt;Journal Article; Research Support, Non-U.S. Gov&amp;apos;t&lt;/_type_work&gt;&lt;_url&gt;http://www.ncbi.nlm.nih.gov/entrez/query.fcgi?cmd=Retrieve&amp;amp;db=pubmed&amp;amp;dopt=Abstract&amp;amp;list_uids=22350156&amp;amp;query_hl=1&lt;/_url&gt;&lt;_volume&gt;39&lt;/_volume&gt;&lt;/Details&gt;&lt;Extra&gt;&lt;DBUID&gt;{EDEA4BC4-0457-43F1-8F42-A2410C0142AC}&lt;/DBUID&gt;&lt;/Extra&gt;&lt;/Item&gt;&lt;/References&gt;&lt;/Group&gt;&lt;/Citation&gt;_x000a_"/>
    <w:docVar w:name="NE.Ref{F55358C2-1CB0-48C2-A85D-D8DD23D02CC3}" w:val=" ADDIN NE.Ref.{F55358C2-1CB0-48C2-A85D-D8DD23D02CC3} ADDIN NE.Ref.{F55358C2-1CB0-48C2-A85D-D8DD23D02CC3}&lt;Citation&gt;&lt;Group&gt;&lt;References&gt;&lt;Item&gt;&lt;ID&gt;175&lt;/ID&gt;&lt;UID&gt;{242E89BE-CE3C-4E7F-9909-A8BEC67E0460}&lt;/UID&gt;&lt;Title&gt;Functional diversity of R3 single-repeat genes in trichome development&lt;/Title&gt;&lt;Template&gt;Journal Article&lt;/Template&gt;&lt;Star&gt;0&lt;/Star&gt;&lt;Tag&gt;0&lt;/Tag&gt;&lt;Author&gt;Wester, K; Digiuni, S; Geier, F; Timmer, J; Fleck, C; Hulskamp, M&lt;/Author&gt;&lt;Year&gt;2009&lt;/Year&gt;&lt;Details&gt;&lt;_accessed&gt;60041535&lt;/_accessed&gt;&lt;_accession_num&gt;19336467&lt;/_accession_num&gt;&lt;_author_adr&gt;University of Cologne, Botanical Institute III, Gyrhofstr. 15, 50931 Cologne, Germany.&lt;/_author_adr&gt;&lt;_created&gt;60041533&lt;/_created&gt;&lt;_date&gt;57502080&lt;/_date&gt;&lt;_date_display&gt;2009 May&lt;/_date_display&gt;&lt;_db_updated&gt;PubMed&lt;/_db_updated&gt;&lt;_doi&gt;10.1242/dev.021733&lt;/_doi&gt;&lt;_issue&gt;9&lt;/_issue&gt;&lt;_journal&gt;Development&lt;/_journal&gt;&lt;_keywords&gt;Arabidopsis/*anatomy &amp;amp; histology/genetics/growth &amp;amp; development/*metabolism; Arabidopsis Proteins/genetics/*metabolism; Cell Movement; Gene Expression Regulation, Plant; Mutation/genetics; Phenotype; Plant Leaves/anatomy &amp;amp; histology/genetics/metabolism; Plant Roots/genetics/growth &amp;amp; development/metabolism; Plants, Genetically Modified; Promoter Regions, Genetic/genetics; Protein Binding&lt;/_keywords&gt;&lt;_language&gt;eng&lt;/_language&gt;&lt;_modified&gt;60041535&lt;/_modified&gt;&lt;_pages&gt;1487-96&lt;/_pages&gt;&lt;_type_work&gt;Journal Article; Research Support, Non-U.S. Gov&amp;apos;t&lt;/_type_work&gt;&lt;_url&gt;http://www.ncbi.nlm.nih.gov/entrez/query.fcgi?cmd=Retrieve&amp;amp;db=pubmed&amp;amp;dopt=Abstract&amp;amp;list_uids=19336467&amp;amp;query_hl=1&lt;/_url&gt;&lt;_volume&gt;136&lt;/_volume&gt;&lt;/Details&gt;&lt;Extra&gt;&lt;DBUID&gt;{EDEA4BC4-0457-43F1-8F42-A2410C0142AC}&lt;/DBUID&gt;&lt;/Extra&gt;&lt;/Item&gt;&lt;/References&gt;&lt;/Group&gt;&lt;/Citation&gt;_x000a_"/>
    <w:docVar w:name="NE.Ref{F8DB2A68-A126-4356-81D6-95ECB6F4CDEC}" w:val=" ADDIN NE.Ref.{F8DB2A68-A126-4356-81D6-95ECB6F4CDEC} ADDIN NE.Ref.{F8DB2A68-A126-4356-81D6-95ECB6F4CDEC}&lt;Citation&gt;&lt;Group&gt;&lt;References&gt;&lt;Item&gt;&lt;ID&gt;143&lt;/ID&gt;&lt;UID&gt;{D59BE615-5A37-405A-A0F4-EBDFA8B0FFC5}&lt;/UID&gt;&lt;Title&gt;Identification of 30 MYB transcription factor genes and analysis of their expression during abiotic stress in peanut (Arachis hypogaea L.)&lt;/Title&gt;&lt;Template&gt;Journal Article&lt;/Template&gt;&lt;Star&gt;0&lt;/Star&gt;&lt;Tag&gt;0&lt;/Tag&gt;&lt;Author&gt;Chen, N; Yang, Q; Pan, L; Chi, X; Chen, M; Hu, D; Yang, Z; Wang, T; Wang, M; Yu, S&lt;/Author&gt;&lt;Year&gt;2014&lt;/Year&gt;&lt;Details&gt;&lt;_accessed&gt;60041348&lt;/_accessed&gt;&lt;_accession_num&gt;24013078&lt;/_accession_num&gt;&lt;_author_adr&gt;Shandong Peanut Research Institute, Qingdao 266100, China.&lt;/_author_adr&gt;&lt;_created&gt;60041347&lt;/_created&gt;&lt;_date&gt;59958720&lt;/_date&gt;&lt;_date_display&gt;2014 Jan 1&lt;/_date_display&gt;&lt;_db_updated&gt;PubMed&lt;/_db_updated&gt;&lt;_doi&gt;10.1016/j.gene.2013.08.092&lt;/_doi&gt;&lt;_issue&gt;1&lt;/_issue&gt;&lt;_journal&gt;Gene&lt;/_journal&gt;&lt;_keywords&gt;Amino Acid Sequence; Arachis hypogaea/*genetics/physiology; DNA, Complementary; *Genes, Plant; *Genes, myb; Molecular Sequence Data; Phylogeny; Plant Proteins/chemistry/genetics; Real-Time Polymerase Chain Reaction; *Stress, PhysiologicalABA; AP2; APETELA2; Abiotic stress; ESTs; Expressed Sequence Tags; LCL1; LHY/CCA1-like 1; MYB; NJ tree; Neighbor-joining tree; ORFs; Phylogenetic analysis; TFs; abscisic acid; open reading frames; transcription factors&lt;/_keywords&gt;&lt;_language&gt;eng&lt;/_language&gt;&lt;_modified&gt;60041348&lt;/_modified&gt;&lt;_ori_publication&gt;(c) 2013.&lt;/_ori_publication&gt;&lt;_pages&gt;332-45&lt;/_pages&gt;&lt;_type_work&gt;Journal Article; Research Support, Non-U.S. Gov&amp;apos;t&lt;/_type_work&gt;&lt;_url&gt;http://www.ncbi.nlm.nih.gov/entrez/query.fcgi?cmd=Retrieve&amp;amp;db=pubmed&amp;amp;dopt=Abstract&amp;amp;list_uids=24013078&amp;amp;query_hl=1&lt;/_url&gt;&lt;_volume&gt;533&lt;/_volume&gt;&lt;/Details&gt;&lt;Extra&gt;&lt;DBUID&gt;{EDEA4BC4-0457-43F1-8F42-A2410C0142AC}&lt;/DBUID&gt;&lt;/Extra&gt;&lt;/Item&gt;&lt;/References&gt;&lt;/Group&gt;&lt;/Citation&gt;_x000a_"/>
    <w:docVar w:name="NE.Ref{FECC4F15-C132-4FAD-AB40-CD644E02D91A}" w:val=" ADDIN NE.Ref.{FECC4F15-C132-4FAD-AB40-CD644E02D91A} ADDIN NE.Ref.{FECC4F15-C132-4FAD-AB40-CD644E02D91A}&lt;Citation&gt;&lt;Group&gt;&lt;References&gt;&lt;Item&gt;&lt;ID&gt;146&lt;/ID&gt;&lt;UID&gt;{CEC97C6C-B751-48FE-BF2B-DA355BBD333A}&lt;/UID&gt;&lt;Title&gt;Arabidopsis MYB68 in development and responses to environmental cues&lt;/Title&gt;&lt;Template&gt;Journal Article&lt;/Template&gt;&lt;Star&gt;0&lt;/Star&gt;&lt;Tag&gt;0&lt;/Tag&gt;&lt;Author&gt;Feng, Caiping; Andreasson, Erik; Maslak, Andrea; Mock, Hans Peter; Mattsson, Ole; Mundy, John&lt;/Author&gt;&lt;Year&gt;2004&lt;/Year&gt;&lt;Details&gt;&lt;_accessed&gt;60041368&lt;/_accessed&gt;&lt;_created&gt;60041366&lt;/_created&gt;&lt;_date_display&gt;2004&lt;/_date_display&gt;&lt;_db_updated&gt;PKU Search&lt;/_db_updated&gt;&lt;_doi&gt;10.1016/j.plantsci.2004.06.014&lt;/_doi&gt;&lt;_isbn&gt;1873-2259&lt;/_isbn&gt;&lt;_issue&gt;5&lt;/_issue&gt;&lt;_journal&gt;Plant Science&lt;/_journal&gt;&lt;_modified&gt;60041368&lt;/_modified&gt;&lt;_pages&gt;1099 - 1107&lt;/_pages&gt;&lt;_subject_headings&gt;Heat-shock&lt;/_subject_headings&gt;&lt;_url&gt;http://pku.summon.serialssolutions.com/2.0.0/link/0/eLvHCXMwTZ1BCgIxDEWLeAJBb1GYNDNpZi1TRBRc6MZdmzSH8PSm4MITZPfzsng_QwM2ntQXLyo5flsXXRyyq_BkOREPE_l959sjlW25_qV5OYTdpx7Dq2zP8yX-ngFEAYfaKLRC09ooVZ2roqCoaB9uZ2s-zRI5qTAIINk6Gi4tmyDPnZsQZTiFvR_U_QuZ0ibY&amp;quot; class=&amp;quot;documentLink; http://dx.doi.org/10.1016/j.plantsci.2004.06.014&lt;/_url&gt;&lt;_volume&gt;167&lt;/_volume&gt;&lt;/Details&gt;&lt;Extra&gt;&lt;DBUID&gt;{EDEA4BC4-0457-43F1-8F42-A2410C0142AC}&lt;/DBUID&gt;&lt;/Extra&gt;&lt;/Item&gt;&lt;/References&gt;&lt;/Group&gt;&lt;/Citation&gt;_x000a_"/>
    <w:docVar w:name="ne_stylename" w:val="园艺学报"/>
  </w:docVars>
  <w:rsids>
    <w:rsidRoot w:val="00584C14"/>
    <w:rsid w:val="0000009F"/>
    <w:rsid w:val="0000069E"/>
    <w:rsid w:val="00001445"/>
    <w:rsid w:val="00001EA9"/>
    <w:rsid w:val="00002F91"/>
    <w:rsid w:val="00003D1E"/>
    <w:rsid w:val="0000562E"/>
    <w:rsid w:val="000060E8"/>
    <w:rsid w:val="00012667"/>
    <w:rsid w:val="00014133"/>
    <w:rsid w:val="00016AD6"/>
    <w:rsid w:val="0001716B"/>
    <w:rsid w:val="00025173"/>
    <w:rsid w:val="00026CA3"/>
    <w:rsid w:val="00030F42"/>
    <w:rsid w:val="00033337"/>
    <w:rsid w:val="00034006"/>
    <w:rsid w:val="000353F9"/>
    <w:rsid w:val="00036741"/>
    <w:rsid w:val="00037A60"/>
    <w:rsid w:val="00037F02"/>
    <w:rsid w:val="000407AA"/>
    <w:rsid w:val="00040F5A"/>
    <w:rsid w:val="0004335E"/>
    <w:rsid w:val="000443FC"/>
    <w:rsid w:val="000456DD"/>
    <w:rsid w:val="000466A2"/>
    <w:rsid w:val="000473F0"/>
    <w:rsid w:val="0004795C"/>
    <w:rsid w:val="000509F0"/>
    <w:rsid w:val="000513E8"/>
    <w:rsid w:val="000527E2"/>
    <w:rsid w:val="00052BE1"/>
    <w:rsid w:val="00055AC3"/>
    <w:rsid w:val="00055D22"/>
    <w:rsid w:val="000565FC"/>
    <w:rsid w:val="00056634"/>
    <w:rsid w:val="00056C34"/>
    <w:rsid w:val="00061010"/>
    <w:rsid w:val="000632C4"/>
    <w:rsid w:val="00065F7E"/>
    <w:rsid w:val="0006624E"/>
    <w:rsid w:val="00066976"/>
    <w:rsid w:val="00066C97"/>
    <w:rsid w:val="00067A06"/>
    <w:rsid w:val="000713FC"/>
    <w:rsid w:val="0007269D"/>
    <w:rsid w:val="00072C10"/>
    <w:rsid w:val="00074491"/>
    <w:rsid w:val="00074D43"/>
    <w:rsid w:val="000763C7"/>
    <w:rsid w:val="000778BD"/>
    <w:rsid w:val="00077D52"/>
    <w:rsid w:val="000834A8"/>
    <w:rsid w:val="00083DCB"/>
    <w:rsid w:val="000841A6"/>
    <w:rsid w:val="00085595"/>
    <w:rsid w:val="000867D8"/>
    <w:rsid w:val="00090AC4"/>
    <w:rsid w:val="00091E02"/>
    <w:rsid w:val="00093AA9"/>
    <w:rsid w:val="00093D9F"/>
    <w:rsid w:val="0009515C"/>
    <w:rsid w:val="00097CA3"/>
    <w:rsid w:val="000A011C"/>
    <w:rsid w:val="000A12E8"/>
    <w:rsid w:val="000A1AF9"/>
    <w:rsid w:val="000A1E1D"/>
    <w:rsid w:val="000A2BB0"/>
    <w:rsid w:val="000A5C2E"/>
    <w:rsid w:val="000B1B05"/>
    <w:rsid w:val="000B2B5B"/>
    <w:rsid w:val="000B2FA1"/>
    <w:rsid w:val="000B7400"/>
    <w:rsid w:val="000C2EA2"/>
    <w:rsid w:val="000C69F3"/>
    <w:rsid w:val="000C71EA"/>
    <w:rsid w:val="000C74C8"/>
    <w:rsid w:val="000C7EE7"/>
    <w:rsid w:val="000C7FE8"/>
    <w:rsid w:val="000D17EE"/>
    <w:rsid w:val="000D4D9E"/>
    <w:rsid w:val="000D4E15"/>
    <w:rsid w:val="000D52A8"/>
    <w:rsid w:val="000D5E71"/>
    <w:rsid w:val="000D67E0"/>
    <w:rsid w:val="000E0537"/>
    <w:rsid w:val="000E086D"/>
    <w:rsid w:val="000E1C7D"/>
    <w:rsid w:val="000E1FC5"/>
    <w:rsid w:val="000E2D2A"/>
    <w:rsid w:val="000E2F18"/>
    <w:rsid w:val="000E4463"/>
    <w:rsid w:val="000E5A5F"/>
    <w:rsid w:val="000E7AE4"/>
    <w:rsid w:val="000F25F5"/>
    <w:rsid w:val="000F2822"/>
    <w:rsid w:val="000F2B4E"/>
    <w:rsid w:val="000F2CDB"/>
    <w:rsid w:val="000F5188"/>
    <w:rsid w:val="000F579B"/>
    <w:rsid w:val="000F736D"/>
    <w:rsid w:val="000F7446"/>
    <w:rsid w:val="000F7CC8"/>
    <w:rsid w:val="001016C3"/>
    <w:rsid w:val="0010360F"/>
    <w:rsid w:val="00103C25"/>
    <w:rsid w:val="001055F1"/>
    <w:rsid w:val="00105BDD"/>
    <w:rsid w:val="00106011"/>
    <w:rsid w:val="00106288"/>
    <w:rsid w:val="00106495"/>
    <w:rsid w:val="001065C4"/>
    <w:rsid w:val="00106B4E"/>
    <w:rsid w:val="00106BCF"/>
    <w:rsid w:val="001106F0"/>
    <w:rsid w:val="001107F9"/>
    <w:rsid w:val="001129FA"/>
    <w:rsid w:val="00113ABF"/>
    <w:rsid w:val="00113F37"/>
    <w:rsid w:val="001151CE"/>
    <w:rsid w:val="00116A52"/>
    <w:rsid w:val="0011788F"/>
    <w:rsid w:val="001223FE"/>
    <w:rsid w:val="00122A8D"/>
    <w:rsid w:val="00123979"/>
    <w:rsid w:val="0012433B"/>
    <w:rsid w:val="00124418"/>
    <w:rsid w:val="001266A2"/>
    <w:rsid w:val="001276B8"/>
    <w:rsid w:val="00130B4D"/>
    <w:rsid w:val="00131136"/>
    <w:rsid w:val="00133769"/>
    <w:rsid w:val="00137098"/>
    <w:rsid w:val="001406F8"/>
    <w:rsid w:val="00141C1A"/>
    <w:rsid w:val="0014398C"/>
    <w:rsid w:val="00144609"/>
    <w:rsid w:val="0014480C"/>
    <w:rsid w:val="001457F0"/>
    <w:rsid w:val="001466C1"/>
    <w:rsid w:val="00147C83"/>
    <w:rsid w:val="00152684"/>
    <w:rsid w:val="001534D0"/>
    <w:rsid w:val="001538C5"/>
    <w:rsid w:val="00153EEE"/>
    <w:rsid w:val="00155C43"/>
    <w:rsid w:val="001609CA"/>
    <w:rsid w:val="00162647"/>
    <w:rsid w:val="0016309B"/>
    <w:rsid w:val="001634D1"/>
    <w:rsid w:val="001657DA"/>
    <w:rsid w:val="00165CA4"/>
    <w:rsid w:val="001677B7"/>
    <w:rsid w:val="00171DBF"/>
    <w:rsid w:val="001723C8"/>
    <w:rsid w:val="00172453"/>
    <w:rsid w:val="0017382F"/>
    <w:rsid w:val="00175534"/>
    <w:rsid w:val="00175D1E"/>
    <w:rsid w:val="00177D32"/>
    <w:rsid w:val="001803B6"/>
    <w:rsid w:val="001831A3"/>
    <w:rsid w:val="00183AA9"/>
    <w:rsid w:val="00184921"/>
    <w:rsid w:val="00185D1B"/>
    <w:rsid w:val="00185F5C"/>
    <w:rsid w:val="001861D0"/>
    <w:rsid w:val="0018670C"/>
    <w:rsid w:val="00187152"/>
    <w:rsid w:val="00190A1E"/>
    <w:rsid w:val="00190CAB"/>
    <w:rsid w:val="00191EAB"/>
    <w:rsid w:val="00192F94"/>
    <w:rsid w:val="0019364B"/>
    <w:rsid w:val="001936D8"/>
    <w:rsid w:val="001950EC"/>
    <w:rsid w:val="001969F7"/>
    <w:rsid w:val="001A08C5"/>
    <w:rsid w:val="001A0B10"/>
    <w:rsid w:val="001A2849"/>
    <w:rsid w:val="001A3F3D"/>
    <w:rsid w:val="001A3FF8"/>
    <w:rsid w:val="001A4D2C"/>
    <w:rsid w:val="001A5AB0"/>
    <w:rsid w:val="001A75B5"/>
    <w:rsid w:val="001B0BD3"/>
    <w:rsid w:val="001B14D6"/>
    <w:rsid w:val="001B1E7D"/>
    <w:rsid w:val="001B2752"/>
    <w:rsid w:val="001B289C"/>
    <w:rsid w:val="001B2B71"/>
    <w:rsid w:val="001B2E4A"/>
    <w:rsid w:val="001B2ECC"/>
    <w:rsid w:val="001B44F7"/>
    <w:rsid w:val="001B4C1E"/>
    <w:rsid w:val="001B605F"/>
    <w:rsid w:val="001B7243"/>
    <w:rsid w:val="001B7A54"/>
    <w:rsid w:val="001C1DA9"/>
    <w:rsid w:val="001C28FC"/>
    <w:rsid w:val="001C3415"/>
    <w:rsid w:val="001C3E52"/>
    <w:rsid w:val="001C3E5D"/>
    <w:rsid w:val="001C552F"/>
    <w:rsid w:val="001C5C68"/>
    <w:rsid w:val="001C5DD9"/>
    <w:rsid w:val="001C6102"/>
    <w:rsid w:val="001C713B"/>
    <w:rsid w:val="001C76C2"/>
    <w:rsid w:val="001C783C"/>
    <w:rsid w:val="001C7DBA"/>
    <w:rsid w:val="001D06F9"/>
    <w:rsid w:val="001D2E1F"/>
    <w:rsid w:val="001D3901"/>
    <w:rsid w:val="001D4233"/>
    <w:rsid w:val="001D45F3"/>
    <w:rsid w:val="001D4911"/>
    <w:rsid w:val="001D5078"/>
    <w:rsid w:val="001D5E47"/>
    <w:rsid w:val="001E018A"/>
    <w:rsid w:val="001E047B"/>
    <w:rsid w:val="001E0DD8"/>
    <w:rsid w:val="001E224D"/>
    <w:rsid w:val="001E22BF"/>
    <w:rsid w:val="001E44C7"/>
    <w:rsid w:val="001E59BE"/>
    <w:rsid w:val="001E60DE"/>
    <w:rsid w:val="001E7F09"/>
    <w:rsid w:val="001F09E3"/>
    <w:rsid w:val="001F3D70"/>
    <w:rsid w:val="001F532D"/>
    <w:rsid w:val="001F560C"/>
    <w:rsid w:val="001F5794"/>
    <w:rsid w:val="001F6101"/>
    <w:rsid w:val="001F65CA"/>
    <w:rsid w:val="001F7ECD"/>
    <w:rsid w:val="00202894"/>
    <w:rsid w:val="00205BFB"/>
    <w:rsid w:val="0020617B"/>
    <w:rsid w:val="0021174A"/>
    <w:rsid w:val="0021249D"/>
    <w:rsid w:val="0021252C"/>
    <w:rsid w:val="002142A9"/>
    <w:rsid w:val="00214D1A"/>
    <w:rsid w:val="00215026"/>
    <w:rsid w:val="00215EC5"/>
    <w:rsid w:val="00215F00"/>
    <w:rsid w:val="0021621D"/>
    <w:rsid w:val="00216499"/>
    <w:rsid w:val="00220051"/>
    <w:rsid w:val="002205AD"/>
    <w:rsid w:val="00222DE3"/>
    <w:rsid w:val="002230E4"/>
    <w:rsid w:val="002233A3"/>
    <w:rsid w:val="002246F2"/>
    <w:rsid w:val="00224B41"/>
    <w:rsid w:val="002265E2"/>
    <w:rsid w:val="00226C8C"/>
    <w:rsid w:val="00227720"/>
    <w:rsid w:val="00230277"/>
    <w:rsid w:val="00230565"/>
    <w:rsid w:val="0023332B"/>
    <w:rsid w:val="00234398"/>
    <w:rsid w:val="00235495"/>
    <w:rsid w:val="002376CF"/>
    <w:rsid w:val="002406BF"/>
    <w:rsid w:val="00241D84"/>
    <w:rsid w:val="00242636"/>
    <w:rsid w:val="002429CC"/>
    <w:rsid w:val="00243304"/>
    <w:rsid w:val="0024353B"/>
    <w:rsid w:val="002441A2"/>
    <w:rsid w:val="00244A98"/>
    <w:rsid w:val="002452FE"/>
    <w:rsid w:val="00245632"/>
    <w:rsid w:val="00245F30"/>
    <w:rsid w:val="002479DA"/>
    <w:rsid w:val="00250183"/>
    <w:rsid w:val="002503F5"/>
    <w:rsid w:val="00250CE5"/>
    <w:rsid w:val="00251126"/>
    <w:rsid w:val="00251E8E"/>
    <w:rsid w:val="002539E7"/>
    <w:rsid w:val="0025498B"/>
    <w:rsid w:val="0025500B"/>
    <w:rsid w:val="00255106"/>
    <w:rsid w:val="002558DE"/>
    <w:rsid w:val="00255915"/>
    <w:rsid w:val="00257CC4"/>
    <w:rsid w:val="0026093F"/>
    <w:rsid w:val="00261A3F"/>
    <w:rsid w:val="0026297D"/>
    <w:rsid w:val="00263ACD"/>
    <w:rsid w:val="00263EF0"/>
    <w:rsid w:val="002645EB"/>
    <w:rsid w:val="00267751"/>
    <w:rsid w:val="00272B46"/>
    <w:rsid w:val="002742E5"/>
    <w:rsid w:val="00274BDD"/>
    <w:rsid w:val="00274CFA"/>
    <w:rsid w:val="002753D4"/>
    <w:rsid w:val="00275574"/>
    <w:rsid w:val="00276381"/>
    <w:rsid w:val="00276B8E"/>
    <w:rsid w:val="002800B3"/>
    <w:rsid w:val="00280C69"/>
    <w:rsid w:val="00281790"/>
    <w:rsid w:val="0028299F"/>
    <w:rsid w:val="002841B7"/>
    <w:rsid w:val="00284920"/>
    <w:rsid w:val="0028626A"/>
    <w:rsid w:val="0028763C"/>
    <w:rsid w:val="00290113"/>
    <w:rsid w:val="0029087E"/>
    <w:rsid w:val="00291537"/>
    <w:rsid w:val="00295807"/>
    <w:rsid w:val="00296B75"/>
    <w:rsid w:val="002A1A3B"/>
    <w:rsid w:val="002A5175"/>
    <w:rsid w:val="002A51AF"/>
    <w:rsid w:val="002A5781"/>
    <w:rsid w:val="002A6D5A"/>
    <w:rsid w:val="002B31FE"/>
    <w:rsid w:val="002B35AD"/>
    <w:rsid w:val="002B4708"/>
    <w:rsid w:val="002B4E50"/>
    <w:rsid w:val="002B58BC"/>
    <w:rsid w:val="002B6116"/>
    <w:rsid w:val="002B7DDC"/>
    <w:rsid w:val="002C0BA2"/>
    <w:rsid w:val="002C1581"/>
    <w:rsid w:val="002C1C22"/>
    <w:rsid w:val="002C1DED"/>
    <w:rsid w:val="002C271B"/>
    <w:rsid w:val="002C3E99"/>
    <w:rsid w:val="002C43D4"/>
    <w:rsid w:val="002C4F98"/>
    <w:rsid w:val="002C5362"/>
    <w:rsid w:val="002C54B1"/>
    <w:rsid w:val="002C5DFF"/>
    <w:rsid w:val="002D3D3B"/>
    <w:rsid w:val="002D449F"/>
    <w:rsid w:val="002D4FB2"/>
    <w:rsid w:val="002D545A"/>
    <w:rsid w:val="002D6825"/>
    <w:rsid w:val="002D6EE1"/>
    <w:rsid w:val="002D7BA1"/>
    <w:rsid w:val="002E01FC"/>
    <w:rsid w:val="002E0953"/>
    <w:rsid w:val="002E3094"/>
    <w:rsid w:val="002E4418"/>
    <w:rsid w:val="002E6C4D"/>
    <w:rsid w:val="002E7810"/>
    <w:rsid w:val="002F0372"/>
    <w:rsid w:val="002F0915"/>
    <w:rsid w:val="002F1960"/>
    <w:rsid w:val="002F471C"/>
    <w:rsid w:val="002F6AB6"/>
    <w:rsid w:val="002F6B49"/>
    <w:rsid w:val="002F75C5"/>
    <w:rsid w:val="00300245"/>
    <w:rsid w:val="00301C2C"/>
    <w:rsid w:val="0030727C"/>
    <w:rsid w:val="00307373"/>
    <w:rsid w:val="00307B83"/>
    <w:rsid w:val="00310473"/>
    <w:rsid w:val="00311E08"/>
    <w:rsid w:val="00313227"/>
    <w:rsid w:val="003144EB"/>
    <w:rsid w:val="003179C9"/>
    <w:rsid w:val="00320173"/>
    <w:rsid w:val="00320789"/>
    <w:rsid w:val="0032179C"/>
    <w:rsid w:val="003231AF"/>
    <w:rsid w:val="003235C0"/>
    <w:rsid w:val="0032482B"/>
    <w:rsid w:val="003254AA"/>
    <w:rsid w:val="00326833"/>
    <w:rsid w:val="00327A20"/>
    <w:rsid w:val="003300C9"/>
    <w:rsid w:val="00334418"/>
    <w:rsid w:val="003358ED"/>
    <w:rsid w:val="003366C3"/>
    <w:rsid w:val="003368E0"/>
    <w:rsid w:val="003376AD"/>
    <w:rsid w:val="00337D1B"/>
    <w:rsid w:val="00340BA0"/>
    <w:rsid w:val="00342627"/>
    <w:rsid w:val="00343B0C"/>
    <w:rsid w:val="00344526"/>
    <w:rsid w:val="00344736"/>
    <w:rsid w:val="003500C7"/>
    <w:rsid w:val="00350966"/>
    <w:rsid w:val="00352028"/>
    <w:rsid w:val="0035281D"/>
    <w:rsid w:val="00352DF3"/>
    <w:rsid w:val="00353739"/>
    <w:rsid w:val="003539B5"/>
    <w:rsid w:val="00354D0D"/>
    <w:rsid w:val="00355291"/>
    <w:rsid w:val="003607F8"/>
    <w:rsid w:val="00360855"/>
    <w:rsid w:val="00361632"/>
    <w:rsid w:val="00362B76"/>
    <w:rsid w:val="00362E90"/>
    <w:rsid w:val="00365D39"/>
    <w:rsid w:val="00365D95"/>
    <w:rsid w:val="00366A22"/>
    <w:rsid w:val="00370C3F"/>
    <w:rsid w:val="00370CD1"/>
    <w:rsid w:val="00372E53"/>
    <w:rsid w:val="00374335"/>
    <w:rsid w:val="00374387"/>
    <w:rsid w:val="00375437"/>
    <w:rsid w:val="00375576"/>
    <w:rsid w:val="003764CE"/>
    <w:rsid w:val="003765A7"/>
    <w:rsid w:val="00382632"/>
    <w:rsid w:val="0038612D"/>
    <w:rsid w:val="00386ED8"/>
    <w:rsid w:val="00391371"/>
    <w:rsid w:val="003918A3"/>
    <w:rsid w:val="003926C4"/>
    <w:rsid w:val="0039354E"/>
    <w:rsid w:val="003946DA"/>
    <w:rsid w:val="003946FE"/>
    <w:rsid w:val="00395AD9"/>
    <w:rsid w:val="003970A0"/>
    <w:rsid w:val="003971DD"/>
    <w:rsid w:val="003A0466"/>
    <w:rsid w:val="003A160C"/>
    <w:rsid w:val="003A28E2"/>
    <w:rsid w:val="003A6788"/>
    <w:rsid w:val="003A6AFC"/>
    <w:rsid w:val="003A70C2"/>
    <w:rsid w:val="003A760E"/>
    <w:rsid w:val="003A7AC6"/>
    <w:rsid w:val="003B1812"/>
    <w:rsid w:val="003B340A"/>
    <w:rsid w:val="003B5076"/>
    <w:rsid w:val="003B53DC"/>
    <w:rsid w:val="003B5976"/>
    <w:rsid w:val="003B5C3C"/>
    <w:rsid w:val="003B6EBE"/>
    <w:rsid w:val="003B7750"/>
    <w:rsid w:val="003B797D"/>
    <w:rsid w:val="003C013A"/>
    <w:rsid w:val="003C081D"/>
    <w:rsid w:val="003C1BAA"/>
    <w:rsid w:val="003C4209"/>
    <w:rsid w:val="003C4397"/>
    <w:rsid w:val="003C4816"/>
    <w:rsid w:val="003C5903"/>
    <w:rsid w:val="003C7D13"/>
    <w:rsid w:val="003C7F59"/>
    <w:rsid w:val="003D2B26"/>
    <w:rsid w:val="003D4A8B"/>
    <w:rsid w:val="003D4F29"/>
    <w:rsid w:val="003D50B7"/>
    <w:rsid w:val="003D5BE9"/>
    <w:rsid w:val="003D5CC1"/>
    <w:rsid w:val="003E0660"/>
    <w:rsid w:val="003E2650"/>
    <w:rsid w:val="003E2651"/>
    <w:rsid w:val="003E2BC1"/>
    <w:rsid w:val="003E34C7"/>
    <w:rsid w:val="003F26AB"/>
    <w:rsid w:val="003F66AF"/>
    <w:rsid w:val="003F6D02"/>
    <w:rsid w:val="003F78D3"/>
    <w:rsid w:val="00400844"/>
    <w:rsid w:val="00400AF4"/>
    <w:rsid w:val="00401353"/>
    <w:rsid w:val="004014CC"/>
    <w:rsid w:val="00403034"/>
    <w:rsid w:val="00403162"/>
    <w:rsid w:val="004037C6"/>
    <w:rsid w:val="00403BFA"/>
    <w:rsid w:val="00403C1D"/>
    <w:rsid w:val="00404001"/>
    <w:rsid w:val="004040BE"/>
    <w:rsid w:val="0040519C"/>
    <w:rsid w:val="00406F1A"/>
    <w:rsid w:val="004110C2"/>
    <w:rsid w:val="00411B5D"/>
    <w:rsid w:val="0041728A"/>
    <w:rsid w:val="004176B9"/>
    <w:rsid w:val="00420965"/>
    <w:rsid w:val="00421307"/>
    <w:rsid w:val="004240FE"/>
    <w:rsid w:val="00424173"/>
    <w:rsid w:val="004247C9"/>
    <w:rsid w:val="00424A30"/>
    <w:rsid w:val="00430096"/>
    <w:rsid w:val="00431F3C"/>
    <w:rsid w:val="00433B6E"/>
    <w:rsid w:val="0043545C"/>
    <w:rsid w:val="0043598A"/>
    <w:rsid w:val="004359DF"/>
    <w:rsid w:val="004369E5"/>
    <w:rsid w:val="004371C7"/>
    <w:rsid w:val="00437F90"/>
    <w:rsid w:val="00441895"/>
    <w:rsid w:val="004422D1"/>
    <w:rsid w:val="00442BDF"/>
    <w:rsid w:val="00443D67"/>
    <w:rsid w:val="0044495B"/>
    <w:rsid w:val="00444E88"/>
    <w:rsid w:val="004454E3"/>
    <w:rsid w:val="00445523"/>
    <w:rsid w:val="004502DA"/>
    <w:rsid w:val="00451A09"/>
    <w:rsid w:val="00453CA5"/>
    <w:rsid w:val="004543DC"/>
    <w:rsid w:val="0045538A"/>
    <w:rsid w:val="004600D8"/>
    <w:rsid w:val="004602F7"/>
    <w:rsid w:val="00460B76"/>
    <w:rsid w:val="0046103B"/>
    <w:rsid w:val="00461167"/>
    <w:rsid w:val="00461297"/>
    <w:rsid w:val="00462D44"/>
    <w:rsid w:val="0046383E"/>
    <w:rsid w:val="00464B16"/>
    <w:rsid w:val="004660EA"/>
    <w:rsid w:val="00466D10"/>
    <w:rsid w:val="00466D14"/>
    <w:rsid w:val="004739B7"/>
    <w:rsid w:val="00474822"/>
    <w:rsid w:val="00475EF0"/>
    <w:rsid w:val="00480209"/>
    <w:rsid w:val="00481335"/>
    <w:rsid w:val="004817A8"/>
    <w:rsid w:val="00481B80"/>
    <w:rsid w:val="00482B4E"/>
    <w:rsid w:val="00484F14"/>
    <w:rsid w:val="00485371"/>
    <w:rsid w:val="00485381"/>
    <w:rsid w:val="00485F33"/>
    <w:rsid w:val="004864C8"/>
    <w:rsid w:val="00487596"/>
    <w:rsid w:val="004875A3"/>
    <w:rsid w:val="00491B35"/>
    <w:rsid w:val="00492543"/>
    <w:rsid w:val="004926D6"/>
    <w:rsid w:val="00492916"/>
    <w:rsid w:val="00497B76"/>
    <w:rsid w:val="004A0671"/>
    <w:rsid w:val="004A07F1"/>
    <w:rsid w:val="004A0E1E"/>
    <w:rsid w:val="004A13E3"/>
    <w:rsid w:val="004A460B"/>
    <w:rsid w:val="004A605D"/>
    <w:rsid w:val="004A70CA"/>
    <w:rsid w:val="004A7228"/>
    <w:rsid w:val="004A77A0"/>
    <w:rsid w:val="004B078C"/>
    <w:rsid w:val="004B0FA2"/>
    <w:rsid w:val="004B14F4"/>
    <w:rsid w:val="004B3773"/>
    <w:rsid w:val="004B431E"/>
    <w:rsid w:val="004B55B4"/>
    <w:rsid w:val="004B5ADF"/>
    <w:rsid w:val="004B5B42"/>
    <w:rsid w:val="004C0213"/>
    <w:rsid w:val="004C0A10"/>
    <w:rsid w:val="004C1F00"/>
    <w:rsid w:val="004C79F2"/>
    <w:rsid w:val="004D071A"/>
    <w:rsid w:val="004D1527"/>
    <w:rsid w:val="004D2669"/>
    <w:rsid w:val="004D3987"/>
    <w:rsid w:val="004D4375"/>
    <w:rsid w:val="004D765F"/>
    <w:rsid w:val="004D79B5"/>
    <w:rsid w:val="004E31A1"/>
    <w:rsid w:val="004E343E"/>
    <w:rsid w:val="004E40BB"/>
    <w:rsid w:val="004E4AD2"/>
    <w:rsid w:val="004E63C4"/>
    <w:rsid w:val="004E7ADA"/>
    <w:rsid w:val="004F12C6"/>
    <w:rsid w:val="004F18CA"/>
    <w:rsid w:val="004F3739"/>
    <w:rsid w:val="004F37C7"/>
    <w:rsid w:val="004F3DA3"/>
    <w:rsid w:val="004F422A"/>
    <w:rsid w:val="004F4E99"/>
    <w:rsid w:val="004F50C8"/>
    <w:rsid w:val="004F6D66"/>
    <w:rsid w:val="00500421"/>
    <w:rsid w:val="005007F8"/>
    <w:rsid w:val="00500D85"/>
    <w:rsid w:val="00502F1D"/>
    <w:rsid w:val="00505850"/>
    <w:rsid w:val="00506AA0"/>
    <w:rsid w:val="00506E8C"/>
    <w:rsid w:val="005071A4"/>
    <w:rsid w:val="00511147"/>
    <w:rsid w:val="0051332E"/>
    <w:rsid w:val="00523D10"/>
    <w:rsid w:val="00524875"/>
    <w:rsid w:val="005271F2"/>
    <w:rsid w:val="0053211C"/>
    <w:rsid w:val="00532B2B"/>
    <w:rsid w:val="00533AF3"/>
    <w:rsid w:val="00533E3A"/>
    <w:rsid w:val="00534048"/>
    <w:rsid w:val="00535DA6"/>
    <w:rsid w:val="0053675A"/>
    <w:rsid w:val="00537FD0"/>
    <w:rsid w:val="0054089E"/>
    <w:rsid w:val="005410F3"/>
    <w:rsid w:val="00542464"/>
    <w:rsid w:val="0054555B"/>
    <w:rsid w:val="00546A07"/>
    <w:rsid w:val="00546C20"/>
    <w:rsid w:val="00550B82"/>
    <w:rsid w:val="0055113B"/>
    <w:rsid w:val="00551867"/>
    <w:rsid w:val="00551A2B"/>
    <w:rsid w:val="00551CBB"/>
    <w:rsid w:val="0055487A"/>
    <w:rsid w:val="00555DF6"/>
    <w:rsid w:val="005562DA"/>
    <w:rsid w:val="005563FA"/>
    <w:rsid w:val="00556402"/>
    <w:rsid w:val="00556490"/>
    <w:rsid w:val="00557D41"/>
    <w:rsid w:val="005632A0"/>
    <w:rsid w:val="00563843"/>
    <w:rsid w:val="005674B1"/>
    <w:rsid w:val="00570440"/>
    <w:rsid w:val="00570EC7"/>
    <w:rsid w:val="00581080"/>
    <w:rsid w:val="00582ABC"/>
    <w:rsid w:val="00584C14"/>
    <w:rsid w:val="00584C3F"/>
    <w:rsid w:val="00587D1F"/>
    <w:rsid w:val="005921EC"/>
    <w:rsid w:val="0059493F"/>
    <w:rsid w:val="005954C0"/>
    <w:rsid w:val="00595529"/>
    <w:rsid w:val="00596622"/>
    <w:rsid w:val="00597794"/>
    <w:rsid w:val="005A1E93"/>
    <w:rsid w:val="005A1F6D"/>
    <w:rsid w:val="005A2CD5"/>
    <w:rsid w:val="005A312E"/>
    <w:rsid w:val="005A4778"/>
    <w:rsid w:val="005A6F19"/>
    <w:rsid w:val="005A75F5"/>
    <w:rsid w:val="005B0566"/>
    <w:rsid w:val="005B0675"/>
    <w:rsid w:val="005B2826"/>
    <w:rsid w:val="005B63A5"/>
    <w:rsid w:val="005B65E2"/>
    <w:rsid w:val="005B6AD3"/>
    <w:rsid w:val="005B6F24"/>
    <w:rsid w:val="005C1C93"/>
    <w:rsid w:val="005C44C4"/>
    <w:rsid w:val="005C595E"/>
    <w:rsid w:val="005C5F25"/>
    <w:rsid w:val="005C6A27"/>
    <w:rsid w:val="005D083A"/>
    <w:rsid w:val="005D10CF"/>
    <w:rsid w:val="005D2339"/>
    <w:rsid w:val="005D31E3"/>
    <w:rsid w:val="005D46A0"/>
    <w:rsid w:val="005D49A0"/>
    <w:rsid w:val="005D6682"/>
    <w:rsid w:val="005E45E7"/>
    <w:rsid w:val="005E46D6"/>
    <w:rsid w:val="005E5ADD"/>
    <w:rsid w:val="005E628F"/>
    <w:rsid w:val="005E7CDB"/>
    <w:rsid w:val="005E7F94"/>
    <w:rsid w:val="005F1A67"/>
    <w:rsid w:val="005F1B35"/>
    <w:rsid w:val="005F2E94"/>
    <w:rsid w:val="005F3817"/>
    <w:rsid w:val="005F3DAF"/>
    <w:rsid w:val="005F405B"/>
    <w:rsid w:val="005F4E82"/>
    <w:rsid w:val="005F53BB"/>
    <w:rsid w:val="005F553E"/>
    <w:rsid w:val="005F66DA"/>
    <w:rsid w:val="005F67BD"/>
    <w:rsid w:val="005F7D97"/>
    <w:rsid w:val="00600393"/>
    <w:rsid w:val="0060092C"/>
    <w:rsid w:val="0060176F"/>
    <w:rsid w:val="00602C70"/>
    <w:rsid w:val="00602F4C"/>
    <w:rsid w:val="0060306E"/>
    <w:rsid w:val="00603377"/>
    <w:rsid w:val="00603F3A"/>
    <w:rsid w:val="0060461F"/>
    <w:rsid w:val="006051CF"/>
    <w:rsid w:val="006061DF"/>
    <w:rsid w:val="00606F22"/>
    <w:rsid w:val="00607BB1"/>
    <w:rsid w:val="006109B0"/>
    <w:rsid w:val="00610A11"/>
    <w:rsid w:val="006152B5"/>
    <w:rsid w:val="006156A9"/>
    <w:rsid w:val="00615B18"/>
    <w:rsid w:val="00620186"/>
    <w:rsid w:val="00621429"/>
    <w:rsid w:val="006227E0"/>
    <w:rsid w:val="006229CE"/>
    <w:rsid w:val="00623353"/>
    <w:rsid w:val="006235C7"/>
    <w:rsid w:val="00624096"/>
    <w:rsid w:val="006322E7"/>
    <w:rsid w:val="00633096"/>
    <w:rsid w:val="00633268"/>
    <w:rsid w:val="00633CBA"/>
    <w:rsid w:val="0063595A"/>
    <w:rsid w:val="00637538"/>
    <w:rsid w:val="00640CB0"/>
    <w:rsid w:val="00641251"/>
    <w:rsid w:val="00642532"/>
    <w:rsid w:val="00643067"/>
    <w:rsid w:val="00643612"/>
    <w:rsid w:val="0064471A"/>
    <w:rsid w:val="006450D4"/>
    <w:rsid w:val="00646C1A"/>
    <w:rsid w:val="00646D10"/>
    <w:rsid w:val="00646EA8"/>
    <w:rsid w:val="006505C2"/>
    <w:rsid w:val="006510F3"/>
    <w:rsid w:val="00651C45"/>
    <w:rsid w:val="006552F9"/>
    <w:rsid w:val="00656BDC"/>
    <w:rsid w:val="006578EE"/>
    <w:rsid w:val="00660500"/>
    <w:rsid w:val="00660C1A"/>
    <w:rsid w:val="00661B60"/>
    <w:rsid w:val="00661BDD"/>
    <w:rsid w:val="00663922"/>
    <w:rsid w:val="006643EC"/>
    <w:rsid w:val="006649A1"/>
    <w:rsid w:val="00665950"/>
    <w:rsid w:val="00665DFB"/>
    <w:rsid w:val="0066752F"/>
    <w:rsid w:val="00667CBB"/>
    <w:rsid w:val="00672B37"/>
    <w:rsid w:val="00675477"/>
    <w:rsid w:val="006758EC"/>
    <w:rsid w:val="006773A3"/>
    <w:rsid w:val="00677908"/>
    <w:rsid w:val="006819B3"/>
    <w:rsid w:val="00681D6C"/>
    <w:rsid w:val="006823F8"/>
    <w:rsid w:val="00682BDB"/>
    <w:rsid w:val="00684AD2"/>
    <w:rsid w:val="00685E62"/>
    <w:rsid w:val="0069067D"/>
    <w:rsid w:val="00692309"/>
    <w:rsid w:val="006946E6"/>
    <w:rsid w:val="00694A2B"/>
    <w:rsid w:val="00694DBC"/>
    <w:rsid w:val="006960D3"/>
    <w:rsid w:val="00696464"/>
    <w:rsid w:val="00697279"/>
    <w:rsid w:val="006A0538"/>
    <w:rsid w:val="006A056A"/>
    <w:rsid w:val="006A116B"/>
    <w:rsid w:val="006A14A0"/>
    <w:rsid w:val="006A2D3E"/>
    <w:rsid w:val="006A5123"/>
    <w:rsid w:val="006A51C4"/>
    <w:rsid w:val="006A6C80"/>
    <w:rsid w:val="006A730A"/>
    <w:rsid w:val="006A7BA0"/>
    <w:rsid w:val="006B0091"/>
    <w:rsid w:val="006B1C6E"/>
    <w:rsid w:val="006B20D7"/>
    <w:rsid w:val="006B242F"/>
    <w:rsid w:val="006B3561"/>
    <w:rsid w:val="006B3D37"/>
    <w:rsid w:val="006B4076"/>
    <w:rsid w:val="006B478A"/>
    <w:rsid w:val="006B6655"/>
    <w:rsid w:val="006B6E9C"/>
    <w:rsid w:val="006B6FA1"/>
    <w:rsid w:val="006B78C4"/>
    <w:rsid w:val="006B7EBD"/>
    <w:rsid w:val="006C1073"/>
    <w:rsid w:val="006C3317"/>
    <w:rsid w:val="006C4387"/>
    <w:rsid w:val="006C6149"/>
    <w:rsid w:val="006C7717"/>
    <w:rsid w:val="006C7ED1"/>
    <w:rsid w:val="006D19D1"/>
    <w:rsid w:val="006D29A4"/>
    <w:rsid w:val="006D2B99"/>
    <w:rsid w:val="006D4731"/>
    <w:rsid w:val="006D4E7D"/>
    <w:rsid w:val="006D5023"/>
    <w:rsid w:val="006D68C6"/>
    <w:rsid w:val="006D69DF"/>
    <w:rsid w:val="006D73EB"/>
    <w:rsid w:val="006E1242"/>
    <w:rsid w:val="006E3597"/>
    <w:rsid w:val="006E3DC9"/>
    <w:rsid w:val="006E43AF"/>
    <w:rsid w:val="006E5187"/>
    <w:rsid w:val="006E5805"/>
    <w:rsid w:val="006E6296"/>
    <w:rsid w:val="006F5D3B"/>
    <w:rsid w:val="006F6204"/>
    <w:rsid w:val="006F647C"/>
    <w:rsid w:val="006F65B3"/>
    <w:rsid w:val="006F6857"/>
    <w:rsid w:val="0070052A"/>
    <w:rsid w:val="007012BC"/>
    <w:rsid w:val="00701E35"/>
    <w:rsid w:val="0070237B"/>
    <w:rsid w:val="007027CF"/>
    <w:rsid w:val="007045C7"/>
    <w:rsid w:val="0070571D"/>
    <w:rsid w:val="00705B6C"/>
    <w:rsid w:val="00706A0F"/>
    <w:rsid w:val="00707AD1"/>
    <w:rsid w:val="007127FF"/>
    <w:rsid w:val="00713E5D"/>
    <w:rsid w:val="007156F1"/>
    <w:rsid w:val="00715CD2"/>
    <w:rsid w:val="0072356B"/>
    <w:rsid w:val="00723DCB"/>
    <w:rsid w:val="007245AC"/>
    <w:rsid w:val="00725F68"/>
    <w:rsid w:val="00730DD3"/>
    <w:rsid w:val="007337C9"/>
    <w:rsid w:val="00733C60"/>
    <w:rsid w:val="007341E4"/>
    <w:rsid w:val="00736624"/>
    <w:rsid w:val="007376CD"/>
    <w:rsid w:val="007402C7"/>
    <w:rsid w:val="0074100F"/>
    <w:rsid w:val="00742129"/>
    <w:rsid w:val="007424BA"/>
    <w:rsid w:val="00746E5C"/>
    <w:rsid w:val="00747500"/>
    <w:rsid w:val="007475F7"/>
    <w:rsid w:val="00747F98"/>
    <w:rsid w:val="0075049C"/>
    <w:rsid w:val="007514B6"/>
    <w:rsid w:val="00752064"/>
    <w:rsid w:val="0075211C"/>
    <w:rsid w:val="00755025"/>
    <w:rsid w:val="00755A2A"/>
    <w:rsid w:val="00757464"/>
    <w:rsid w:val="00760EA3"/>
    <w:rsid w:val="00761538"/>
    <w:rsid w:val="00762D5C"/>
    <w:rsid w:val="007630C6"/>
    <w:rsid w:val="0076352B"/>
    <w:rsid w:val="007660E5"/>
    <w:rsid w:val="00772250"/>
    <w:rsid w:val="00772D3A"/>
    <w:rsid w:val="0077445E"/>
    <w:rsid w:val="00776316"/>
    <w:rsid w:val="00781294"/>
    <w:rsid w:val="007827BF"/>
    <w:rsid w:val="00784E05"/>
    <w:rsid w:val="00784E22"/>
    <w:rsid w:val="00786016"/>
    <w:rsid w:val="00786312"/>
    <w:rsid w:val="007868CC"/>
    <w:rsid w:val="00792045"/>
    <w:rsid w:val="0079249A"/>
    <w:rsid w:val="00795CCD"/>
    <w:rsid w:val="0079627C"/>
    <w:rsid w:val="007A0025"/>
    <w:rsid w:val="007A312E"/>
    <w:rsid w:val="007A364E"/>
    <w:rsid w:val="007A3C12"/>
    <w:rsid w:val="007A4274"/>
    <w:rsid w:val="007A4441"/>
    <w:rsid w:val="007A5682"/>
    <w:rsid w:val="007A5A03"/>
    <w:rsid w:val="007A5A26"/>
    <w:rsid w:val="007B0898"/>
    <w:rsid w:val="007B0C64"/>
    <w:rsid w:val="007B3BEE"/>
    <w:rsid w:val="007B3EAA"/>
    <w:rsid w:val="007B591C"/>
    <w:rsid w:val="007B6768"/>
    <w:rsid w:val="007B711A"/>
    <w:rsid w:val="007B74A4"/>
    <w:rsid w:val="007B7791"/>
    <w:rsid w:val="007B7AFD"/>
    <w:rsid w:val="007C1CEE"/>
    <w:rsid w:val="007C4F05"/>
    <w:rsid w:val="007C6946"/>
    <w:rsid w:val="007D2271"/>
    <w:rsid w:val="007D2BE7"/>
    <w:rsid w:val="007D2EFE"/>
    <w:rsid w:val="007D317C"/>
    <w:rsid w:val="007D37F1"/>
    <w:rsid w:val="007D3854"/>
    <w:rsid w:val="007D3CFB"/>
    <w:rsid w:val="007D425C"/>
    <w:rsid w:val="007D7419"/>
    <w:rsid w:val="007E0311"/>
    <w:rsid w:val="007E10F0"/>
    <w:rsid w:val="007E1293"/>
    <w:rsid w:val="007E2675"/>
    <w:rsid w:val="007E27EE"/>
    <w:rsid w:val="007E37E3"/>
    <w:rsid w:val="007E4101"/>
    <w:rsid w:val="007E5912"/>
    <w:rsid w:val="007E5C57"/>
    <w:rsid w:val="007E6201"/>
    <w:rsid w:val="007E69B7"/>
    <w:rsid w:val="007E71DB"/>
    <w:rsid w:val="007E7486"/>
    <w:rsid w:val="007E7BB9"/>
    <w:rsid w:val="007F22A9"/>
    <w:rsid w:val="007F3A07"/>
    <w:rsid w:val="007F3A51"/>
    <w:rsid w:val="007F4A95"/>
    <w:rsid w:val="007F4B9C"/>
    <w:rsid w:val="007F501A"/>
    <w:rsid w:val="007F6D40"/>
    <w:rsid w:val="007F7553"/>
    <w:rsid w:val="00800559"/>
    <w:rsid w:val="00801185"/>
    <w:rsid w:val="008035B9"/>
    <w:rsid w:val="00804DFD"/>
    <w:rsid w:val="00805B5B"/>
    <w:rsid w:val="008060B0"/>
    <w:rsid w:val="008060EC"/>
    <w:rsid w:val="00806D41"/>
    <w:rsid w:val="00807F43"/>
    <w:rsid w:val="00810E6F"/>
    <w:rsid w:val="0081220A"/>
    <w:rsid w:val="008128D9"/>
    <w:rsid w:val="00815D94"/>
    <w:rsid w:val="008160A6"/>
    <w:rsid w:val="00816232"/>
    <w:rsid w:val="008163B0"/>
    <w:rsid w:val="0081750E"/>
    <w:rsid w:val="00820014"/>
    <w:rsid w:val="0082007C"/>
    <w:rsid w:val="00820AC9"/>
    <w:rsid w:val="00822DC6"/>
    <w:rsid w:val="00823ACD"/>
    <w:rsid w:val="00824C80"/>
    <w:rsid w:val="00825433"/>
    <w:rsid w:val="0082555C"/>
    <w:rsid w:val="008261AC"/>
    <w:rsid w:val="00826251"/>
    <w:rsid w:val="0082638F"/>
    <w:rsid w:val="00826C9B"/>
    <w:rsid w:val="00830032"/>
    <w:rsid w:val="008318BE"/>
    <w:rsid w:val="008330DB"/>
    <w:rsid w:val="008354C3"/>
    <w:rsid w:val="00835F7E"/>
    <w:rsid w:val="00837B90"/>
    <w:rsid w:val="00841991"/>
    <w:rsid w:val="00842659"/>
    <w:rsid w:val="00843356"/>
    <w:rsid w:val="00844AC5"/>
    <w:rsid w:val="00845EEB"/>
    <w:rsid w:val="00851518"/>
    <w:rsid w:val="00852194"/>
    <w:rsid w:val="00852A4F"/>
    <w:rsid w:val="008538B8"/>
    <w:rsid w:val="00854E93"/>
    <w:rsid w:val="008551E1"/>
    <w:rsid w:val="008560F0"/>
    <w:rsid w:val="008576A0"/>
    <w:rsid w:val="00857B2E"/>
    <w:rsid w:val="008611DF"/>
    <w:rsid w:val="00861990"/>
    <w:rsid w:val="00862619"/>
    <w:rsid w:val="00862A35"/>
    <w:rsid w:val="00862DED"/>
    <w:rsid w:val="00863517"/>
    <w:rsid w:val="00863548"/>
    <w:rsid w:val="008663D2"/>
    <w:rsid w:val="00866C31"/>
    <w:rsid w:val="00866CB9"/>
    <w:rsid w:val="0086718D"/>
    <w:rsid w:val="00867705"/>
    <w:rsid w:val="00870848"/>
    <w:rsid w:val="00872625"/>
    <w:rsid w:val="008749C6"/>
    <w:rsid w:val="0087565C"/>
    <w:rsid w:val="0087653C"/>
    <w:rsid w:val="0087672D"/>
    <w:rsid w:val="00877195"/>
    <w:rsid w:val="008804BB"/>
    <w:rsid w:val="00881DBE"/>
    <w:rsid w:val="008850B7"/>
    <w:rsid w:val="008870A3"/>
    <w:rsid w:val="008878A5"/>
    <w:rsid w:val="0089072F"/>
    <w:rsid w:val="00891078"/>
    <w:rsid w:val="008921C4"/>
    <w:rsid w:val="0089362A"/>
    <w:rsid w:val="00896F43"/>
    <w:rsid w:val="008A19B3"/>
    <w:rsid w:val="008A1A32"/>
    <w:rsid w:val="008A326C"/>
    <w:rsid w:val="008B3592"/>
    <w:rsid w:val="008B48F7"/>
    <w:rsid w:val="008B4BF9"/>
    <w:rsid w:val="008B4DB6"/>
    <w:rsid w:val="008B548A"/>
    <w:rsid w:val="008B5AB6"/>
    <w:rsid w:val="008B6659"/>
    <w:rsid w:val="008B6D83"/>
    <w:rsid w:val="008B7D2C"/>
    <w:rsid w:val="008C3A95"/>
    <w:rsid w:val="008C4309"/>
    <w:rsid w:val="008C55D8"/>
    <w:rsid w:val="008D1466"/>
    <w:rsid w:val="008D2134"/>
    <w:rsid w:val="008D2769"/>
    <w:rsid w:val="008D2C41"/>
    <w:rsid w:val="008D45C7"/>
    <w:rsid w:val="008D5D9D"/>
    <w:rsid w:val="008D653A"/>
    <w:rsid w:val="008D78C7"/>
    <w:rsid w:val="008E0A46"/>
    <w:rsid w:val="008E3395"/>
    <w:rsid w:val="008E3B80"/>
    <w:rsid w:val="008F0413"/>
    <w:rsid w:val="008F2743"/>
    <w:rsid w:val="008F32C4"/>
    <w:rsid w:val="008F33C5"/>
    <w:rsid w:val="008F36A2"/>
    <w:rsid w:val="008F3BD0"/>
    <w:rsid w:val="008F4834"/>
    <w:rsid w:val="008F4904"/>
    <w:rsid w:val="008F4CBA"/>
    <w:rsid w:val="00900718"/>
    <w:rsid w:val="00900A1B"/>
    <w:rsid w:val="0090132F"/>
    <w:rsid w:val="00903B02"/>
    <w:rsid w:val="00910799"/>
    <w:rsid w:val="009123BC"/>
    <w:rsid w:val="00914971"/>
    <w:rsid w:val="00914F2C"/>
    <w:rsid w:val="00915900"/>
    <w:rsid w:val="009201D9"/>
    <w:rsid w:val="00920A57"/>
    <w:rsid w:val="00921853"/>
    <w:rsid w:val="00921B32"/>
    <w:rsid w:val="00921B65"/>
    <w:rsid w:val="00922297"/>
    <w:rsid w:val="009224B2"/>
    <w:rsid w:val="009253B7"/>
    <w:rsid w:val="009261CA"/>
    <w:rsid w:val="0092624D"/>
    <w:rsid w:val="00926484"/>
    <w:rsid w:val="00927014"/>
    <w:rsid w:val="00927EF7"/>
    <w:rsid w:val="00930446"/>
    <w:rsid w:val="009319FB"/>
    <w:rsid w:val="00932577"/>
    <w:rsid w:val="00935630"/>
    <w:rsid w:val="00936174"/>
    <w:rsid w:val="00941185"/>
    <w:rsid w:val="009418B6"/>
    <w:rsid w:val="00941AAB"/>
    <w:rsid w:val="00942183"/>
    <w:rsid w:val="00942A60"/>
    <w:rsid w:val="0094459F"/>
    <w:rsid w:val="00947E67"/>
    <w:rsid w:val="00951952"/>
    <w:rsid w:val="009523E6"/>
    <w:rsid w:val="009527B0"/>
    <w:rsid w:val="009545DB"/>
    <w:rsid w:val="009557ED"/>
    <w:rsid w:val="0095599B"/>
    <w:rsid w:val="00955C8E"/>
    <w:rsid w:val="00955F34"/>
    <w:rsid w:val="009603E3"/>
    <w:rsid w:val="0096186A"/>
    <w:rsid w:val="00961A68"/>
    <w:rsid w:val="00961AE3"/>
    <w:rsid w:val="00963367"/>
    <w:rsid w:val="0096483B"/>
    <w:rsid w:val="00965336"/>
    <w:rsid w:val="009675F4"/>
    <w:rsid w:val="00967A87"/>
    <w:rsid w:val="0097106C"/>
    <w:rsid w:val="0097184F"/>
    <w:rsid w:val="00974AD3"/>
    <w:rsid w:val="00977A70"/>
    <w:rsid w:val="00977D64"/>
    <w:rsid w:val="00983583"/>
    <w:rsid w:val="009844C0"/>
    <w:rsid w:val="009848E8"/>
    <w:rsid w:val="009857D7"/>
    <w:rsid w:val="00986875"/>
    <w:rsid w:val="00991B7A"/>
    <w:rsid w:val="009929F3"/>
    <w:rsid w:val="00992E2E"/>
    <w:rsid w:val="00993C18"/>
    <w:rsid w:val="00994A31"/>
    <w:rsid w:val="0099562B"/>
    <w:rsid w:val="00997748"/>
    <w:rsid w:val="009A13CD"/>
    <w:rsid w:val="009A18A6"/>
    <w:rsid w:val="009A30C8"/>
    <w:rsid w:val="009A3D82"/>
    <w:rsid w:val="009A4128"/>
    <w:rsid w:val="009A7AF0"/>
    <w:rsid w:val="009B0204"/>
    <w:rsid w:val="009B28DC"/>
    <w:rsid w:val="009B2DC9"/>
    <w:rsid w:val="009B528D"/>
    <w:rsid w:val="009B78BB"/>
    <w:rsid w:val="009C02F6"/>
    <w:rsid w:val="009C13E3"/>
    <w:rsid w:val="009C1FC5"/>
    <w:rsid w:val="009C2370"/>
    <w:rsid w:val="009C4CC6"/>
    <w:rsid w:val="009C76BD"/>
    <w:rsid w:val="009D0F3C"/>
    <w:rsid w:val="009D1438"/>
    <w:rsid w:val="009D1D68"/>
    <w:rsid w:val="009D20D8"/>
    <w:rsid w:val="009D2AF3"/>
    <w:rsid w:val="009D2C7E"/>
    <w:rsid w:val="009D38CA"/>
    <w:rsid w:val="009D3B4C"/>
    <w:rsid w:val="009D4CB2"/>
    <w:rsid w:val="009D5E2F"/>
    <w:rsid w:val="009D69EA"/>
    <w:rsid w:val="009D6F61"/>
    <w:rsid w:val="009E0CCC"/>
    <w:rsid w:val="009E3F76"/>
    <w:rsid w:val="009E431A"/>
    <w:rsid w:val="009E4D8F"/>
    <w:rsid w:val="009E56E7"/>
    <w:rsid w:val="009E6EDE"/>
    <w:rsid w:val="009E73B0"/>
    <w:rsid w:val="009F14D7"/>
    <w:rsid w:val="009F2268"/>
    <w:rsid w:val="009F2278"/>
    <w:rsid w:val="009F22CB"/>
    <w:rsid w:val="009F56CF"/>
    <w:rsid w:val="009F6D66"/>
    <w:rsid w:val="009F6E07"/>
    <w:rsid w:val="00A00917"/>
    <w:rsid w:val="00A00F90"/>
    <w:rsid w:val="00A01D8F"/>
    <w:rsid w:val="00A02CE8"/>
    <w:rsid w:val="00A037B0"/>
    <w:rsid w:val="00A05804"/>
    <w:rsid w:val="00A063BB"/>
    <w:rsid w:val="00A07155"/>
    <w:rsid w:val="00A07A95"/>
    <w:rsid w:val="00A07DC6"/>
    <w:rsid w:val="00A10754"/>
    <w:rsid w:val="00A11651"/>
    <w:rsid w:val="00A12A5E"/>
    <w:rsid w:val="00A162F1"/>
    <w:rsid w:val="00A17493"/>
    <w:rsid w:val="00A176DF"/>
    <w:rsid w:val="00A200EE"/>
    <w:rsid w:val="00A22131"/>
    <w:rsid w:val="00A22DD6"/>
    <w:rsid w:val="00A23075"/>
    <w:rsid w:val="00A23253"/>
    <w:rsid w:val="00A257C6"/>
    <w:rsid w:val="00A25A44"/>
    <w:rsid w:val="00A26D71"/>
    <w:rsid w:val="00A301C1"/>
    <w:rsid w:val="00A3255D"/>
    <w:rsid w:val="00A32BAB"/>
    <w:rsid w:val="00A33AB1"/>
    <w:rsid w:val="00A3435B"/>
    <w:rsid w:val="00A34C41"/>
    <w:rsid w:val="00A40894"/>
    <w:rsid w:val="00A4271C"/>
    <w:rsid w:val="00A4385E"/>
    <w:rsid w:val="00A446A9"/>
    <w:rsid w:val="00A46A73"/>
    <w:rsid w:val="00A4779D"/>
    <w:rsid w:val="00A47C11"/>
    <w:rsid w:val="00A502B7"/>
    <w:rsid w:val="00A512BD"/>
    <w:rsid w:val="00A52FDD"/>
    <w:rsid w:val="00A5415E"/>
    <w:rsid w:val="00A542EE"/>
    <w:rsid w:val="00A54A12"/>
    <w:rsid w:val="00A55ED3"/>
    <w:rsid w:val="00A566BF"/>
    <w:rsid w:val="00A56CB6"/>
    <w:rsid w:val="00A575CB"/>
    <w:rsid w:val="00A60736"/>
    <w:rsid w:val="00A608BF"/>
    <w:rsid w:val="00A62DB2"/>
    <w:rsid w:val="00A63EE1"/>
    <w:rsid w:val="00A642C3"/>
    <w:rsid w:val="00A65D2E"/>
    <w:rsid w:val="00A67CA4"/>
    <w:rsid w:val="00A70E3B"/>
    <w:rsid w:val="00A715C0"/>
    <w:rsid w:val="00A7164E"/>
    <w:rsid w:val="00A71C33"/>
    <w:rsid w:val="00A71D73"/>
    <w:rsid w:val="00A72443"/>
    <w:rsid w:val="00A73D96"/>
    <w:rsid w:val="00A740F2"/>
    <w:rsid w:val="00A745BA"/>
    <w:rsid w:val="00A746D7"/>
    <w:rsid w:val="00A74FD3"/>
    <w:rsid w:val="00A7567C"/>
    <w:rsid w:val="00A7610A"/>
    <w:rsid w:val="00A77B0C"/>
    <w:rsid w:val="00A80F4C"/>
    <w:rsid w:val="00A81DDB"/>
    <w:rsid w:val="00A82734"/>
    <w:rsid w:val="00A829AF"/>
    <w:rsid w:val="00A82C9A"/>
    <w:rsid w:val="00A83558"/>
    <w:rsid w:val="00A83BBF"/>
    <w:rsid w:val="00A84320"/>
    <w:rsid w:val="00A8665A"/>
    <w:rsid w:val="00A866CB"/>
    <w:rsid w:val="00A9009F"/>
    <w:rsid w:val="00A92684"/>
    <w:rsid w:val="00A92D67"/>
    <w:rsid w:val="00A93EDD"/>
    <w:rsid w:val="00A94063"/>
    <w:rsid w:val="00A96328"/>
    <w:rsid w:val="00A96A3F"/>
    <w:rsid w:val="00A97E44"/>
    <w:rsid w:val="00AA1E03"/>
    <w:rsid w:val="00AA1F47"/>
    <w:rsid w:val="00AA42E1"/>
    <w:rsid w:val="00AA460F"/>
    <w:rsid w:val="00AA4724"/>
    <w:rsid w:val="00AA688C"/>
    <w:rsid w:val="00AA6BD4"/>
    <w:rsid w:val="00AA749E"/>
    <w:rsid w:val="00AB0F6C"/>
    <w:rsid w:val="00AB13DA"/>
    <w:rsid w:val="00AB2951"/>
    <w:rsid w:val="00AB3054"/>
    <w:rsid w:val="00AB468E"/>
    <w:rsid w:val="00AB47CB"/>
    <w:rsid w:val="00AB4D74"/>
    <w:rsid w:val="00AB5640"/>
    <w:rsid w:val="00AB75A0"/>
    <w:rsid w:val="00AC050A"/>
    <w:rsid w:val="00AC062A"/>
    <w:rsid w:val="00AC4B74"/>
    <w:rsid w:val="00AC5DC2"/>
    <w:rsid w:val="00AD04A0"/>
    <w:rsid w:val="00AD0874"/>
    <w:rsid w:val="00AD4088"/>
    <w:rsid w:val="00AD6F75"/>
    <w:rsid w:val="00AE2CA8"/>
    <w:rsid w:val="00AE2E67"/>
    <w:rsid w:val="00AE3D4E"/>
    <w:rsid w:val="00AE4152"/>
    <w:rsid w:val="00AE638B"/>
    <w:rsid w:val="00AE688A"/>
    <w:rsid w:val="00AF173C"/>
    <w:rsid w:val="00AF17CD"/>
    <w:rsid w:val="00AF2A72"/>
    <w:rsid w:val="00AF674F"/>
    <w:rsid w:val="00AF7343"/>
    <w:rsid w:val="00B0027F"/>
    <w:rsid w:val="00B017F0"/>
    <w:rsid w:val="00B01862"/>
    <w:rsid w:val="00B02AA2"/>
    <w:rsid w:val="00B03380"/>
    <w:rsid w:val="00B05A5F"/>
    <w:rsid w:val="00B06D84"/>
    <w:rsid w:val="00B10715"/>
    <w:rsid w:val="00B111E8"/>
    <w:rsid w:val="00B1143A"/>
    <w:rsid w:val="00B131F1"/>
    <w:rsid w:val="00B13FDD"/>
    <w:rsid w:val="00B141D7"/>
    <w:rsid w:val="00B17705"/>
    <w:rsid w:val="00B20F72"/>
    <w:rsid w:val="00B219DD"/>
    <w:rsid w:val="00B24CB2"/>
    <w:rsid w:val="00B253D3"/>
    <w:rsid w:val="00B26592"/>
    <w:rsid w:val="00B2690F"/>
    <w:rsid w:val="00B26F47"/>
    <w:rsid w:val="00B27685"/>
    <w:rsid w:val="00B302F3"/>
    <w:rsid w:val="00B3166F"/>
    <w:rsid w:val="00B31875"/>
    <w:rsid w:val="00B319E5"/>
    <w:rsid w:val="00B331E1"/>
    <w:rsid w:val="00B33426"/>
    <w:rsid w:val="00B36A4F"/>
    <w:rsid w:val="00B36E1C"/>
    <w:rsid w:val="00B371DB"/>
    <w:rsid w:val="00B3794C"/>
    <w:rsid w:val="00B37E01"/>
    <w:rsid w:val="00B40555"/>
    <w:rsid w:val="00B4071D"/>
    <w:rsid w:val="00B40733"/>
    <w:rsid w:val="00B4142B"/>
    <w:rsid w:val="00B41AF5"/>
    <w:rsid w:val="00B4211C"/>
    <w:rsid w:val="00B421EA"/>
    <w:rsid w:val="00B43AAB"/>
    <w:rsid w:val="00B444DE"/>
    <w:rsid w:val="00B44AF2"/>
    <w:rsid w:val="00B45B86"/>
    <w:rsid w:val="00B47142"/>
    <w:rsid w:val="00B47E73"/>
    <w:rsid w:val="00B50305"/>
    <w:rsid w:val="00B509E6"/>
    <w:rsid w:val="00B5164E"/>
    <w:rsid w:val="00B52B3E"/>
    <w:rsid w:val="00B537A1"/>
    <w:rsid w:val="00B5395B"/>
    <w:rsid w:val="00B54083"/>
    <w:rsid w:val="00B54982"/>
    <w:rsid w:val="00B54A1F"/>
    <w:rsid w:val="00B54C62"/>
    <w:rsid w:val="00B5551C"/>
    <w:rsid w:val="00B569DA"/>
    <w:rsid w:val="00B569FD"/>
    <w:rsid w:val="00B622FB"/>
    <w:rsid w:val="00B6486D"/>
    <w:rsid w:val="00B659A2"/>
    <w:rsid w:val="00B65B3D"/>
    <w:rsid w:val="00B66DED"/>
    <w:rsid w:val="00B677C6"/>
    <w:rsid w:val="00B70782"/>
    <w:rsid w:val="00B70B86"/>
    <w:rsid w:val="00B70E26"/>
    <w:rsid w:val="00B71C24"/>
    <w:rsid w:val="00B72350"/>
    <w:rsid w:val="00B730CF"/>
    <w:rsid w:val="00B7321C"/>
    <w:rsid w:val="00B737C4"/>
    <w:rsid w:val="00B739A0"/>
    <w:rsid w:val="00B74F70"/>
    <w:rsid w:val="00B760B9"/>
    <w:rsid w:val="00B80C44"/>
    <w:rsid w:val="00B81886"/>
    <w:rsid w:val="00B82074"/>
    <w:rsid w:val="00B8317E"/>
    <w:rsid w:val="00B83481"/>
    <w:rsid w:val="00B83C54"/>
    <w:rsid w:val="00B86576"/>
    <w:rsid w:val="00B87B34"/>
    <w:rsid w:val="00B92A05"/>
    <w:rsid w:val="00B935C0"/>
    <w:rsid w:val="00B95840"/>
    <w:rsid w:val="00B97903"/>
    <w:rsid w:val="00B97A5D"/>
    <w:rsid w:val="00BA0507"/>
    <w:rsid w:val="00BA06CF"/>
    <w:rsid w:val="00BA1588"/>
    <w:rsid w:val="00BA1F8B"/>
    <w:rsid w:val="00BA3BDF"/>
    <w:rsid w:val="00BA646D"/>
    <w:rsid w:val="00BA6AD9"/>
    <w:rsid w:val="00BA7144"/>
    <w:rsid w:val="00BB04D3"/>
    <w:rsid w:val="00BB161D"/>
    <w:rsid w:val="00BB1C49"/>
    <w:rsid w:val="00BB2070"/>
    <w:rsid w:val="00BB2ED9"/>
    <w:rsid w:val="00BB3DA9"/>
    <w:rsid w:val="00BB4844"/>
    <w:rsid w:val="00BB4E90"/>
    <w:rsid w:val="00BB5C66"/>
    <w:rsid w:val="00BB63F8"/>
    <w:rsid w:val="00BB7097"/>
    <w:rsid w:val="00BB734A"/>
    <w:rsid w:val="00BB7658"/>
    <w:rsid w:val="00BC008F"/>
    <w:rsid w:val="00BC0761"/>
    <w:rsid w:val="00BC0B94"/>
    <w:rsid w:val="00BC0C98"/>
    <w:rsid w:val="00BC3CB9"/>
    <w:rsid w:val="00BC5180"/>
    <w:rsid w:val="00BC5202"/>
    <w:rsid w:val="00BD00EB"/>
    <w:rsid w:val="00BD15A5"/>
    <w:rsid w:val="00BD25D1"/>
    <w:rsid w:val="00BD2D98"/>
    <w:rsid w:val="00BD4261"/>
    <w:rsid w:val="00BD4396"/>
    <w:rsid w:val="00BD5CB0"/>
    <w:rsid w:val="00BD6C57"/>
    <w:rsid w:val="00BD6FF3"/>
    <w:rsid w:val="00BE0671"/>
    <w:rsid w:val="00BE0EFF"/>
    <w:rsid w:val="00BE22EF"/>
    <w:rsid w:val="00BE4ECF"/>
    <w:rsid w:val="00BE55FB"/>
    <w:rsid w:val="00BE56FA"/>
    <w:rsid w:val="00BE6DBC"/>
    <w:rsid w:val="00BF0A31"/>
    <w:rsid w:val="00BF20C0"/>
    <w:rsid w:val="00BF4725"/>
    <w:rsid w:val="00BF4D16"/>
    <w:rsid w:val="00BF508D"/>
    <w:rsid w:val="00BF592D"/>
    <w:rsid w:val="00BF5B39"/>
    <w:rsid w:val="00BF6264"/>
    <w:rsid w:val="00BF6FFB"/>
    <w:rsid w:val="00BF7524"/>
    <w:rsid w:val="00C006A9"/>
    <w:rsid w:val="00C008E4"/>
    <w:rsid w:val="00C0129F"/>
    <w:rsid w:val="00C013D2"/>
    <w:rsid w:val="00C020B4"/>
    <w:rsid w:val="00C0286B"/>
    <w:rsid w:val="00C02A28"/>
    <w:rsid w:val="00C03A63"/>
    <w:rsid w:val="00C07AEB"/>
    <w:rsid w:val="00C07D21"/>
    <w:rsid w:val="00C10814"/>
    <w:rsid w:val="00C12452"/>
    <w:rsid w:val="00C1315E"/>
    <w:rsid w:val="00C13529"/>
    <w:rsid w:val="00C14F7A"/>
    <w:rsid w:val="00C16258"/>
    <w:rsid w:val="00C16667"/>
    <w:rsid w:val="00C17771"/>
    <w:rsid w:val="00C17974"/>
    <w:rsid w:val="00C21335"/>
    <w:rsid w:val="00C218D3"/>
    <w:rsid w:val="00C21EBE"/>
    <w:rsid w:val="00C2322E"/>
    <w:rsid w:val="00C23655"/>
    <w:rsid w:val="00C25DAC"/>
    <w:rsid w:val="00C26091"/>
    <w:rsid w:val="00C26CFD"/>
    <w:rsid w:val="00C2720A"/>
    <w:rsid w:val="00C30303"/>
    <w:rsid w:val="00C3367F"/>
    <w:rsid w:val="00C34ECA"/>
    <w:rsid w:val="00C353CC"/>
    <w:rsid w:val="00C37756"/>
    <w:rsid w:val="00C40F4E"/>
    <w:rsid w:val="00C4125D"/>
    <w:rsid w:val="00C43A3D"/>
    <w:rsid w:val="00C44A98"/>
    <w:rsid w:val="00C44AF8"/>
    <w:rsid w:val="00C46DC4"/>
    <w:rsid w:val="00C470F0"/>
    <w:rsid w:val="00C47CDC"/>
    <w:rsid w:val="00C502BF"/>
    <w:rsid w:val="00C50872"/>
    <w:rsid w:val="00C5131F"/>
    <w:rsid w:val="00C54038"/>
    <w:rsid w:val="00C5462C"/>
    <w:rsid w:val="00C546C1"/>
    <w:rsid w:val="00C5517D"/>
    <w:rsid w:val="00C571C2"/>
    <w:rsid w:val="00C57B13"/>
    <w:rsid w:val="00C6090B"/>
    <w:rsid w:val="00C63A5D"/>
    <w:rsid w:val="00C63D2F"/>
    <w:rsid w:val="00C64093"/>
    <w:rsid w:val="00C64955"/>
    <w:rsid w:val="00C651CD"/>
    <w:rsid w:val="00C67554"/>
    <w:rsid w:val="00C72BCE"/>
    <w:rsid w:val="00C74384"/>
    <w:rsid w:val="00C751E5"/>
    <w:rsid w:val="00C75259"/>
    <w:rsid w:val="00C76F05"/>
    <w:rsid w:val="00C77B67"/>
    <w:rsid w:val="00C80001"/>
    <w:rsid w:val="00C82CA0"/>
    <w:rsid w:val="00C832CE"/>
    <w:rsid w:val="00C83727"/>
    <w:rsid w:val="00C8434C"/>
    <w:rsid w:val="00C84BCD"/>
    <w:rsid w:val="00C874A0"/>
    <w:rsid w:val="00C87C52"/>
    <w:rsid w:val="00C91F0B"/>
    <w:rsid w:val="00C953C9"/>
    <w:rsid w:val="00C95ADB"/>
    <w:rsid w:val="00CA36AD"/>
    <w:rsid w:val="00CA5577"/>
    <w:rsid w:val="00CA65FE"/>
    <w:rsid w:val="00CB0C53"/>
    <w:rsid w:val="00CB2076"/>
    <w:rsid w:val="00CB4ED4"/>
    <w:rsid w:val="00CB76A6"/>
    <w:rsid w:val="00CB7F87"/>
    <w:rsid w:val="00CC09A5"/>
    <w:rsid w:val="00CC1276"/>
    <w:rsid w:val="00CC1BC8"/>
    <w:rsid w:val="00CC302A"/>
    <w:rsid w:val="00CC3585"/>
    <w:rsid w:val="00CC3D06"/>
    <w:rsid w:val="00CC4F62"/>
    <w:rsid w:val="00CC5AF9"/>
    <w:rsid w:val="00CC65B4"/>
    <w:rsid w:val="00CC65F4"/>
    <w:rsid w:val="00CC706B"/>
    <w:rsid w:val="00CC736D"/>
    <w:rsid w:val="00CD4313"/>
    <w:rsid w:val="00CD4539"/>
    <w:rsid w:val="00CD61D3"/>
    <w:rsid w:val="00CD6CF4"/>
    <w:rsid w:val="00CE05E0"/>
    <w:rsid w:val="00CE2AC8"/>
    <w:rsid w:val="00CE2E4E"/>
    <w:rsid w:val="00CE4890"/>
    <w:rsid w:val="00CE48B5"/>
    <w:rsid w:val="00CE4B5D"/>
    <w:rsid w:val="00CE6FC3"/>
    <w:rsid w:val="00CF01A8"/>
    <w:rsid w:val="00CF2E5A"/>
    <w:rsid w:val="00CF419F"/>
    <w:rsid w:val="00CF4998"/>
    <w:rsid w:val="00D02877"/>
    <w:rsid w:val="00D036E9"/>
    <w:rsid w:val="00D045D1"/>
    <w:rsid w:val="00D0675B"/>
    <w:rsid w:val="00D071E9"/>
    <w:rsid w:val="00D07511"/>
    <w:rsid w:val="00D13584"/>
    <w:rsid w:val="00D13BC3"/>
    <w:rsid w:val="00D16062"/>
    <w:rsid w:val="00D16B4D"/>
    <w:rsid w:val="00D175A6"/>
    <w:rsid w:val="00D2040D"/>
    <w:rsid w:val="00D204B4"/>
    <w:rsid w:val="00D2144C"/>
    <w:rsid w:val="00D22CB2"/>
    <w:rsid w:val="00D23829"/>
    <w:rsid w:val="00D23B30"/>
    <w:rsid w:val="00D24916"/>
    <w:rsid w:val="00D25584"/>
    <w:rsid w:val="00D26417"/>
    <w:rsid w:val="00D2661C"/>
    <w:rsid w:val="00D328E7"/>
    <w:rsid w:val="00D34002"/>
    <w:rsid w:val="00D34C9B"/>
    <w:rsid w:val="00D3569B"/>
    <w:rsid w:val="00D35C0B"/>
    <w:rsid w:val="00D35D0A"/>
    <w:rsid w:val="00D37361"/>
    <w:rsid w:val="00D406D6"/>
    <w:rsid w:val="00D40EE6"/>
    <w:rsid w:val="00D423FD"/>
    <w:rsid w:val="00D43526"/>
    <w:rsid w:val="00D4367C"/>
    <w:rsid w:val="00D43E72"/>
    <w:rsid w:val="00D442F7"/>
    <w:rsid w:val="00D44CA6"/>
    <w:rsid w:val="00D4539B"/>
    <w:rsid w:val="00D4708E"/>
    <w:rsid w:val="00D477E3"/>
    <w:rsid w:val="00D51E61"/>
    <w:rsid w:val="00D54995"/>
    <w:rsid w:val="00D553FA"/>
    <w:rsid w:val="00D57262"/>
    <w:rsid w:val="00D57287"/>
    <w:rsid w:val="00D57ABD"/>
    <w:rsid w:val="00D60318"/>
    <w:rsid w:val="00D61AE9"/>
    <w:rsid w:val="00D6276F"/>
    <w:rsid w:val="00D63C12"/>
    <w:rsid w:val="00D65FC5"/>
    <w:rsid w:val="00D6677A"/>
    <w:rsid w:val="00D66A7D"/>
    <w:rsid w:val="00D674C1"/>
    <w:rsid w:val="00D676B1"/>
    <w:rsid w:val="00D676D9"/>
    <w:rsid w:val="00D6788C"/>
    <w:rsid w:val="00D67EE5"/>
    <w:rsid w:val="00D703D8"/>
    <w:rsid w:val="00D7057E"/>
    <w:rsid w:val="00D7156C"/>
    <w:rsid w:val="00D717D2"/>
    <w:rsid w:val="00D719A3"/>
    <w:rsid w:val="00D71CC0"/>
    <w:rsid w:val="00D720F3"/>
    <w:rsid w:val="00D7289C"/>
    <w:rsid w:val="00D73D60"/>
    <w:rsid w:val="00D7479C"/>
    <w:rsid w:val="00D74D11"/>
    <w:rsid w:val="00D75755"/>
    <w:rsid w:val="00D803D5"/>
    <w:rsid w:val="00D80D8A"/>
    <w:rsid w:val="00D83853"/>
    <w:rsid w:val="00D83C72"/>
    <w:rsid w:val="00D84DB0"/>
    <w:rsid w:val="00D85291"/>
    <w:rsid w:val="00D855F3"/>
    <w:rsid w:val="00D86094"/>
    <w:rsid w:val="00D9007C"/>
    <w:rsid w:val="00D9131C"/>
    <w:rsid w:val="00D918F5"/>
    <w:rsid w:val="00D91FBD"/>
    <w:rsid w:val="00D9650C"/>
    <w:rsid w:val="00D9760C"/>
    <w:rsid w:val="00DA015E"/>
    <w:rsid w:val="00DA0A29"/>
    <w:rsid w:val="00DA298A"/>
    <w:rsid w:val="00DA5AA4"/>
    <w:rsid w:val="00DA5FAE"/>
    <w:rsid w:val="00DA627A"/>
    <w:rsid w:val="00DA6A23"/>
    <w:rsid w:val="00DA7696"/>
    <w:rsid w:val="00DB0389"/>
    <w:rsid w:val="00DB23FD"/>
    <w:rsid w:val="00DB2C81"/>
    <w:rsid w:val="00DB3C32"/>
    <w:rsid w:val="00DB44B0"/>
    <w:rsid w:val="00DB5828"/>
    <w:rsid w:val="00DB5C4F"/>
    <w:rsid w:val="00DB65D8"/>
    <w:rsid w:val="00DB6886"/>
    <w:rsid w:val="00DB7504"/>
    <w:rsid w:val="00DB7C94"/>
    <w:rsid w:val="00DB7E15"/>
    <w:rsid w:val="00DC048B"/>
    <w:rsid w:val="00DC050A"/>
    <w:rsid w:val="00DC06AE"/>
    <w:rsid w:val="00DC2D50"/>
    <w:rsid w:val="00DC2DC6"/>
    <w:rsid w:val="00DC4F9F"/>
    <w:rsid w:val="00DC50AA"/>
    <w:rsid w:val="00DC5291"/>
    <w:rsid w:val="00DD0076"/>
    <w:rsid w:val="00DD05AF"/>
    <w:rsid w:val="00DD0FE9"/>
    <w:rsid w:val="00DD158A"/>
    <w:rsid w:val="00DE0204"/>
    <w:rsid w:val="00DE1F79"/>
    <w:rsid w:val="00DE2049"/>
    <w:rsid w:val="00DE2981"/>
    <w:rsid w:val="00DE377F"/>
    <w:rsid w:val="00DE4ACB"/>
    <w:rsid w:val="00DE56C3"/>
    <w:rsid w:val="00DE7AFC"/>
    <w:rsid w:val="00DE7CF6"/>
    <w:rsid w:val="00DF2A96"/>
    <w:rsid w:val="00DF373F"/>
    <w:rsid w:val="00DF379A"/>
    <w:rsid w:val="00DF3927"/>
    <w:rsid w:val="00DF6C09"/>
    <w:rsid w:val="00DF7ADB"/>
    <w:rsid w:val="00E005B2"/>
    <w:rsid w:val="00E00AE4"/>
    <w:rsid w:val="00E0123A"/>
    <w:rsid w:val="00E04504"/>
    <w:rsid w:val="00E059DA"/>
    <w:rsid w:val="00E105CD"/>
    <w:rsid w:val="00E10C1B"/>
    <w:rsid w:val="00E1163F"/>
    <w:rsid w:val="00E116E5"/>
    <w:rsid w:val="00E128AD"/>
    <w:rsid w:val="00E135BE"/>
    <w:rsid w:val="00E13B9D"/>
    <w:rsid w:val="00E13C6D"/>
    <w:rsid w:val="00E147CC"/>
    <w:rsid w:val="00E14DB4"/>
    <w:rsid w:val="00E15CB4"/>
    <w:rsid w:val="00E205D6"/>
    <w:rsid w:val="00E21D50"/>
    <w:rsid w:val="00E222FB"/>
    <w:rsid w:val="00E23333"/>
    <w:rsid w:val="00E242C4"/>
    <w:rsid w:val="00E26198"/>
    <w:rsid w:val="00E26B94"/>
    <w:rsid w:val="00E3011E"/>
    <w:rsid w:val="00E314B2"/>
    <w:rsid w:val="00E31F72"/>
    <w:rsid w:val="00E33A11"/>
    <w:rsid w:val="00E33EBD"/>
    <w:rsid w:val="00E34CE1"/>
    <w:rsid w:val="00E366B2"/>
    <w:rsid w:val="00E41141"/>
    <w:rsid w:val="00E41DA7"/>
    <w:rsid w:val="00E42BE1"/>
    <w:rsid w:val="00E437E0"/>
    <w:rsid w:val="00E4384D"/>
    <w:rsid w:val="00E45075"/>
    <w:rsid w:val="00E46922"/>
    <w:rsid w:val="00E5130E"/>
    <w:rsid w:val="00E51593"/>
    <w:rsid w:val="00E55FA1"/>
    <w:rsid w:val="00E567AB"/>
    <w:rsid w:val="00E6323E"/>
    <w:rsid w:val="00E66DEC"/>
    <w:rsid w:val="00E677BF"/>
    <w:rsid w:val="00E705D8"/>
    <w:rsid w:val="00E70B79"/>
    <w:rsid w:val="00E73979"/>
    <w:rsid w:val="00E7416B"/>
    <w:rsid w:val="00E76F5D"/>
    <w:rsid w:val="00E774E9"/>
    <w:rsid w:val="00E80F0C"/>
    <w:rsid w:val="00E81BC4"/>
    <w:rsid w:val="00E82CD9"/>
    <w:rsid w:val="00E83698"/>
    <w:rsid w:val="00E87039"/>
    <w:rsid w:val="00E906BC"/>
    <w:rsid w:val="00E91F93"/>
    <w:rsid w:val="00E9346A"/>
    <w:rsid w:val="00E95A78"/>
    <w:rsid w:val="00EA0060"/>
    <w:rsid w:val="00EA008F"/>
    <w:rsid w:val="00EA1210"/>
    <w:rsid w:val="00EA1F2A"/>
    <w:rsid w:val="00EA2829"/>
    <w:rsid w:val="00EA503E"/>
    <w:rsid w:val="00EA5677"/>
    <w:rsid w:val="00EA68A2"/>
    <w:rsid w:val="00EA6A15"/>
    <w:rsid w:val="00EB15C6"/>
    <w:rsid w:val="00EB285D"/>
    <w:rsid w:val="00EB38AF"/>
    <w:rsid w:val="00EB4C5D"/>
    <w:rsid w:val="00EB5545"/>
    <w:rsid w:val="00EB55E6"/>
    <w:rsid w:val="00EB6198"/>
    <w:rsid w:val="00EB75D3"/>
    <w:rsid w:val="00EC0612"/>
    <w:rsid w:val="00EC0872"/>
    <w:rsid w:val="00EC0B99"/>
    <w:rsid w:val="00EC1347"/>
    <w:rsid w:val="00EC19C9"/>
    <w:rsid w:val="00EC2659"/>
    <w:rsid w:val="00EC3664"/>
    <w:rsid w:val="00EC43CB"/>
    <w:rsid w:val="00EC4E51"/>
    <w:rsid w:val="00EC5BBC"/>
    <w:rsid w:val="00EC5F03"/>
    <w:rsid w:val="00EC7E93"/>
    <w:rsid w:val="00ED0C8F"/>
    <w:rsid w:val="00ED0FCB"/>
    <w:rsid w:val="00ED1078"/>
    <w:rsid w:val="00ED174C"/>
    <w:rsid w:val="00ED1B18"/>
    <w:rsid w:val="00ED1FF6"/>
    <w:rsid w:val="00ED5D5E"/>
    <w:rsid w:val="00ED6CE9"/>
    <w:rsid w:val="00ED7184"/>
    <w:rsid w:val="00ED761C"/>
    <w:rsid w:val="00EE108E"/>
    <w:rsid w:val="00EE12E7"/>
    <w:rsid w:val="00EE1E60"/>
    <w:rsid w:val="00EE2504"/>
    <w:rsid w:val="00EE2F02"/>
    <w:rsid w:val="00EE326E"/>
    <w:rsid w:val="00EE390A"/>
    <w:rsid w:val="00EE47C6"/>
    <w:rsid w:val="00EE55B6"/>
    <w:rsid w:val="00EE5B2A"/>
    <w:rsid w:val="00EE7BDE"/>
    <w:rsid w:val="00EF0C79"/>
    <w:rsid w:val="00EF15E1"/>
    <w:rsid w:val="00EF1A89"/>
    <w:rsid w:val="00EF2136"/>
    <w:rsid w:val="00EF2FF2"/>
    <w:rsid w:val="00EF427F"/>
    <w:rsid w:val="00EF52C8"/>
    <w:rsid w:val="00EF752F"/>
    <w:rsid w:val="00F02901"/>
    <w:rsid w:val="00F029AC"/>
    <w:rsid w:val="00F03219"/>
    <w:rsid w:val="00F03589"/>
    <w:rsid w:val="00F036C4"/>
    <w:rsid w:val="00F040C1"/>
    <w:rsid w:val="00F06B0D"/>
    <w:rsid w:val="00F103E6"/>
    <w:rsid w:val="00F10CCD"/>
    <w:rsid w:val="00F1193A"/>
    <w:rsid w:val="00F12ECB"/>
    <w:rsid w:val="00F148B1"/>
    <w:rsid w:val="00F172A0"/>
    <w:rsid w:val="00F17EF2"/>
    <w:rsid w:val="00F20159"/>
    <w:rsid w:val="00F236E6"/>
    <w:rsid w:val="00F2455C"/>
    <w:rsid w:val="00F245CF"/>
    <w:rsid w:val="00F25327"/>
    <w:rsid w:val="00F30FDD"/>
    <w:rsid w:val="00F347E8"/>
    <w:rsid w:val="00F34EAF"/>
    <w:rsid w:val="00F35032"/>
    <w:rsid w:val="00F3503B"/>
    <w:rsid w:val="00F35BDF"/>
    <w:rsid w:val="00F35F00"/>
    <w:rsid w:val="00F36246"/>
    <w:rsid w:val="00F37FC8"/>
    <w:rsid w:val="00F40201"/>
    <w:rsid w:val="00F404D1"/>
    <w:rsid w:val="00F45C96"/>
    <w:rsid w:val="00F45EAF"/>
    <w:rsid w:val="00F47471"/>
    <w:rsid w:val="00F47CE5"/>
    <w:rsid w:val="00F50D61"/>
    <w:rsid w:val="00F5215C"/>
    <w:rsid w:val="00F532FD"/>
    <w:rsid w:val="00F54008"/>
    <w:rsid w:val="00F546EB"/>
    <w:rsid w:val="00F556CD"/>
    <w:rsid w:val="00F55C75"/>
    <w:rsid w:val="00F55EB7"/>
    <w:rsid w:val="00F57032"/>
    <w:rsid w:val="00F6008C"/>
    <w:rsid w:val="00F60D6F"/>
    <w:rsid w:val="00F6112F"/>
    <w:rsid w:val="00F62019"/>
    <w:rsid w:val="00F62492"/>
    <w:rsid w:val="00F6304F"/>
    <w:rsid w:val="00F633DC"/>
    <w:rsid w:val="00F655A2"/>
    <w:rsid w:val="00F65654"/>
    <w:rsid w:val="00F65747"/>
    <w:rsid w:val="00F66195"/>
    <w:rsid w:val="00F67723"/>
    <w:rsid w:val="00F723B4"/>
    <w:rsid w:val="00F723EB"/>
    <w:rsid w:val="00F726CB"/>
    <w:rsid w:val="00F730DE"/>
    <w:rsid w:val="00F738EC"/>
    <w:rsid w:val="00F77EAF"/>
    <w:rsid w:val="00F81E36"/>
    <w:rsid w:val="00F82850"/>
    <w:rsid w:val="00F82929"/>
    <w:rsid w:val="00F857B1"/>
    <w:rsid w:val="00F86C91"/>
    <w:rsid w:val="00F87475"/>
    <w:rsid w:val="00F91B8E"/>
    <w:rsid w:val="00F92159"/>
    <w:rsid w:val="00F9549F"/>
    <w:rsid w:val="00F959CC"/>
    <w:rsid w:val="00F97011"/>
    <w:rsid w:val="00F97663"/>
    <w:rsid w:val="00FA114D"/>
    <w:rsid w:val="00FA2594"/>
    <w:rsid w:val="00FA4315"/>
    <w:rsid w:val="00FA65E6"/>
    <w:rsid w:val="00FA715A"/>
    <w:rsid w:val="00FB0458"/>
    <w:rsid w:val="00FB0AEE"/>
    <w:rsid w:val="00FB109A"/>
    <w:rsid w:val="00FB13AA"/>
    <w:rsid w:val="00FB17AA"/>
    <w:rsid w:val="00FB2079"/>
    <w:rsid w:val="00FB2C1B"/>
    <w:rsid w:val="00FB40A5"/>
    <w:rsid w:val="00FB5261"/>
    <w:rsid w:val="00FB5B3E"/>
    <w:rsid w:val="00FB6D9F"/>
    <w:rsid w:val="00FC07D8"/>
    <w:rsid w:val="00FC471D"/>
    <w:rsid w:val="00FC4B3F"/>
    <w:rsid w:val="00FC4E49"/>
    <w:rsid w:val="00FC5DD0"/>
    <w:rsid w:val="00FC6D9A"/>
    <w:rsid w:val="00FC7C53"/>
    <w:rsid w:val="00FD118E"/>
    <w:rsid w:val="00FD1C60"/>
    <w:rsid w:val="00FD2E0D"/>
    <w:rsid w:val="00FD3143"/>
    <w:rsid w:val="00FD5734"/>
    <w:rsid w:val="00FD6B22"/>
    <w:rsid w:val="00FE0518"/>
    <w:rsid w:val="00FE0D02"/>
    <w:rsid w:val="00FE3F5D"/>
    <w:rsid w:val="00FE629A"/>
    <w:rsid w:val="00FE726E"/>
    <w:rsid w:val="00FF0541"/>
    <w:rsid w:val="00FF078E"/>
    <w:rsid w:val="00FF07E0"/>
    <w:rsid w:val="00FF0A40"/>
    <w:rsid w:val="00FF0E53"/>
    <w:rsid w:val="00FF29B9"/>
    <w:rsid w:val="00FF2A2A"/>
    <w:rsid w:val="00FF2DB2"/>
    <w:rsid w:val="00FF52E5"/>
    <w:rsid w:val="00FF5DFD"/>
    <w:rsid w:val="022A49B8"/>
    <w:rsid w:val="07BD70D6"/>
    <w:rsid w:val="0E922F72"/>
    <w:rsid w:val="0EA05ECD"/>
    <w:rsid w:val="0F5F3F7D"/>
    <w:rsid w:val="1ADD34CB"/>
    <w:rsid w:val="1B4D4179"/>
    <w:rsid w:val="1F466B04"/>
    <w:rsid w:val="21486C65"/>
    <w:rsid w:val="27F76F67"/>
    <w:rsid w:val="2E9D1EEA"/>
    <w:rsid w:val="328D4906"/>
    <w:rsid w:val="33EC7635"/>
    <w:rsid w:val="34843C36"/>
    <w:rsid w:val="405132A9"/>
    <w:rsid w:val="493F1C4C"/>
    <w:rsid w:val="52614E59"/>
    <w:rsid w:val="54C043A2"/>
    <w:rsid w:val="59433623"/>
    <w:rsid w:val="5B0B60EE"/>
    <w:rsid w:val="5DA72E39"/>
    <w:rsid w:val="5EB05CD7"/>
    <w:rsid w:val="60242B7D"/>
    <w:rsid w:val="60F71A9D"/>
    <w:rsid w:val="65D33E68"/>
    <w:rsid w:val="65EC4433"/>
    <w:rsid w:val="6AFA70BB"/>
    <w:rsid w:val="6C1F6CCA"/>
    <w:rsid w:val="6C9200DF"/>
    <w:rsid w:val="6DD75AA1"/>
    <w:rsid w:val="72223914"/>
    <w:rsid w:val="76D26367"/>
    <w:rsid w:val="7C786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qFormat="1"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7"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4"/>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1"/>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7">
    <w:name w:val="toc 7"/>
    <w:basedOn w:val="1"/>
    <w:next w:val="1"/>
    <w:unhideWhenUsed/>
    <w:qFormat/>
    <w:uiPriority w:val="39"/>
    <w:pPr>
      <w:ind w:left="2520" w:leftChars="1200"/>
    </w:pPr>
    <w:rPr>
      <w:rFonts w:asciiTheme="minorHAnsi" w:hAnsiTheme="minorHAnsi" w:eastAsiaTheme="minorEastAsia"/>
      <w:sz w:val="21"/>
    </w:rPr>
  </w:style>
  <w:style w:type="paragraph" w:styleId="8">
    <w:name w:val="Note Heading"/>
    <w:basedOn w:val="1"/>
    <w:next w:val="1"/>
    <w:link w:val="44"/>
    <w:semiHidden/>
    <w:unhideWhenUsed/>
    <w:qFormat/>
    <w:uiPriority w:val="99"/>
    <w:pPr>
      <w:jc w:val="center"/>
    </w:pPr>
  </w:style>
  <w:style w:type="paragraph" w:styleId="9">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styleId="10">
    <w:name w:val="annotation text"/>
    <w:basedOn w:val="1"/>
    <w:link w:val="62"/>
    <w:semiHidden/>
    <w:unhideWhenUsed/>
    <w:qFormat/>
    <w:uiPriority w:val="99"/>
    <w:pPr>
      <w:jc w:val="left"/>
    </w:pPr>
    <w:rPr>
      <w:rFonts w:ascii="Calibri" w:hAnsi="Calibri" w:cs="Times New Roman"/>
      <w:sz w:val="21"/>
    </w:rPr>
  </w:style>
  <w:style w:type="paragraph" w:styleId="11">
    <w:name w:val="Body Text"/>
    <w:basedOn w:val="1"/>
    <w:next w:val="1"/>
    <w:link w:val="70"/>
    <w:qFormat/>
    <w:uiPriority w:val="0"/>
    <w:pPr>
      <w:spacing w:after="120"/>
    </w:pPr>
    <w:rPr>
      <w:rFonts w:cs="Times New Roman"/>
      <w:sz w:val="21"/>
      <w:szCs w:val="24"/>
    </w:rPr>
  </w:style>
  <w:style w:type="paragraph" w:styleId="12">
    <w:name w:val="toc 5"/>
    <w:basedOn w:val="1"/>
    <w:next w:val="1"/>
    <w:unhideWhenUsed/>
    <w:qFormat/>
    <w:uiPriority w:val="39"/>
    <w:pPr>
      <w:ind w:left="1680" w:leftChars="800"/>
    </w:pPr>
    <w:rPr>
      <w:rFonts w:asciiTheme="minorHAnsi" w:hAnsiTheme="minorHAnsi" w:eastAsiaTheme="minorEastAsia"/>
      <w:sz w:val="21"/>
    </w:rPr>
  </w:style>
  <w:style w:type="paragraph" w:styleId="13">
    <w:name w:val="toc 3"/>
    <w:basedOn w:val="1"/>
    <w:next w:val="1"/>
    <w:unhideWhenUsed/>
    <w:qFormat/>
    <w:uiPriority w:val="39"/>
    <w:pPr>
      <w:ind w:left="840" w:leftChars="400"/>
    </w:pPr>
  </w:style>
  <w:style w:type="paragraph" w:styleId="14">
    <w:name w:val="Plain Text"/>
    <w:basedOn w:val="1"/>
    <w:link w:val="75"/>
    <w:qFormat/>
    <w:uiPriority w:val="0"/>
    <w:pPr>
      <w:adjustRightInd w:val="0"/>
      <w:spacing w:line="360" w:lineRule="atLeast"/>
      <w:jc w:val="left"/>
    </w:pPr>
    <w:rPr>
      <w:rFonts w:ascii="宋体" w:hAnsi="Courier New" w:cs="Helv" w:eastAsiaTheme="minorEastAsia"/>
      <w:sz w:val="21"/>
      <w:szCs w:val="21"/>
    </w:rPr>
  </w:style>
  <w:style w:type="paragraph" w:styleId="15">
    <w:name w:val="toc 8"/>
    <w:basedOn w:val="1"/>
    <w:next w:val="1"/>
    <w:unhideWhenUsed/>
    <w:qFormat/>
    <w:uiPriority w:val="39"/>
    <w:pPr>
      <w:ind w:left="2940" w:leftChars="1400"/>
    </w:pPr>
    <w:rPr>
      <w:rFonts w:asciiTheme="minorHAnsi" w:hAnsiTheme="minorHAnsi" w:eastAsiaTheme="minorEastAsia"/>
      <w:sz w:val="21"/>
    </w:rPr>
  </w:style>
  <w:style w:type="paragraph" w:styleId="16">
    <w:name w:val="Date"/>
    <w:basedOn w:val="1"/>
    <w:next w:val="1"/>
    <w:link w:val="61"/>
    <w:semiHidden/>
    <w:unhideWhenUsed/>
    <w:qFormat/>
    <w:uiPriority w:val="99"/>
    <w:pPr>
      <w:ind w:left="100" w:leftChars="2500"/>
    </w:pPr>
  </w:style>
  <w:style w:type="paragraph" w:styleId="17">
    <w:name w:val="endnote text"/>
    <w:basedOn w:val="1"/>
    <w:link w:val="67"/>
    <w:semiHidden/>
    <w:unhideWhenUsed/>
    <w:qFormat/>
    <w:uiPriority w:val="99"/>
    <w:pPr>
      <w:snapToGrid w:val="0"/>
      <w:jc w:val="left"/>
    </w:pPr>
    <w:rPr>
      <w:rFonts w:ascii="Calibri" w:hAnsi="Calibri" w:cs="Times New Roman"/>
      <w:sz w:val="21"/>
    </w:rPr>
  </w:style>
  <w:style w:type="paragraph" w:styleId="18">
    <w:name w:val="Balloon Text"/>
    <w:basedOn w:val="1"/>
    <w:link w:val="64"/>
    <w:semiHidden/>
    <w:unhideWhenUsed/>
    <w:qFormat/>
    <w:uiPriority w:val="99"/>
    <w:rPr>
      <w:rFonts w:ascii="Calibri" w:hAnsi="Calibri" w:cs="Times New Roman"/>
      <w:sz w:val="18"/>
      <w:szCs w:val="18"/>
    </w:rPr>
  </w:style>
  <w:style w:type="paragraph" w:styleId="19">
    <w:name w:val="footer"/>
    <w:basedOn w:val="1"/>
    <w:link w:val="56"/>
    <w:unhideWhenUsed/>
    <w:qFormat/>
    <w:uiPriority w:val="99"/>
    <w:pPr>
      <w:tabs>
        <w:tab w:val="center" w:pos="4153"/>
        <w:tab w:val="right" w:pos="8306"/>
      </w:tabs>
      <w:snapToGrid w:val="0"/>
      <w:jc w:val="left"/>
    </w:pPr>
    <w:rPr>
      <w:sz w:val="18"/>
      <w:szCs w:val="18"/>
    </w:rPr>
  </w:style>
  <w:style w:type="paragraph" w:styleId="20">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4"/>
    <w:basedOn w:val="1"/>
    <w:next w:val="1"/>
    <w:unhideWhenUsed/>
    <w:qFormat/>
    <w:uiPriority w:val="39"/>
    <w:pPr>
      <w:ind w:left="1260" w:leftChars="600"/>
    </w:pPr>
  </w:style>
  <w:style w:type="paragraph" w:styleId="22">
    <w:name w:val="footnote text"/>
    <w:basedOn w:val="1"/>
    <w:link w:val="65"/>
    <w:semiHidden/>
    <w:unhideWhenUsed/>
    <w:qFormat/>
    <w:uiPriority w:val="99"/>
    <w:pPr>
      <w:snapToGrid w:val="0"/>
      <w:jc w:val="left"/>
    </w:pPr>
    <w:rPr>
      <w:rFonts w:ascii="Calibri" w:hAnsi="Calibri" w:cs="Times New Roman"/>
      <w:sz w:val="18"/>
      <w:szCs w:val="18"/>
    </w:rPr>
  </w:style>
  <w:style w:type="paragraph" w:styleId="23">
    <w:name w:val="toc 6"/>
    <w:basedOn w:val="1"/>
    <w:next w:val="1"/>
    <w:unhideWhenUsed/>
    <w:qFormat/>
    <w:uiPriority w:val="39"/>
    <w:pPr>
      <w:ind w:left="2100" w:leftChars="1000"/>
    </w:pPr>
    <w:rPr>
      <w:rFonts w:asciiTheme="minorHAnsi" w:hAnsiTheme="minorHAnsi" w:eastAsiaTheme="minorEastAsia"/>
      <w:sz w:val="21"/>
    </w:rPr>
  </w:style>
  <w:style w:type="paragraph" w:styleId="24">
    <w:name w:val="toc 2"/>
    <w:basedOn w:val="1"/>
    <w:next w:val="1"/>
    <w:unhideWhenUsed/>
    <w:qFormat/>
    <w:uiPriority w:val="39"/>
    <w:pPr>
      <w:ind w:left="420" w:leftChars="200"/>
    </w:pPr>
  </w:style>
  <w:style w:type="paragraph" w:styleId="25">
    <w:name w:val="toc 9"/>
    <w:basedOn w:val="1"/>
    <w:next w:val="1"/>
    <w:unhideWhenUsed/>
    <w:qFormat/>
    <w:uiPriority w:val="39"/>
    <w:pPr>
      <w:ind w:left="3360" w:leftChars="1600"/>
    </w:pPr>
    <w:rPr>
      <w:rFonts w:asciiTheme="minorHAnsi" w:hAnsiTheme="minorHAnsi" w:eastAsiaTheme="minorEastAsia"/>
      <w:sz w:val="21"/>
    </w:rPr>
  </w:style>
  <w:style w:type="paragraph" w:styleId="26">
    <w:name w:val="Normal (Web)"/>
    <w:basedOn w:val="1"/>
    <w:qFormat/>
    <w:uiPriority w:val="7"/>
    <w:pPr>
      <w:widowControl/>
      <w:spacing w:before="280" w:after="280"/>
    </w:pPr>
    <w:rPr>
      <w:rFonts w:cs="Times New Roman"/>
      <w:kern w:val="0"/>
      <w:szCs w:val="20"/>
    </w:rPr>
  </w:style>
  <w:style w:type="paragraph" w:styleId="27">
    <w:name w:val="Title"/>
    <w:basedOn w:val="1"/>
    <w:next w:val="1"/>
    <w:link w:val="58"/>
    <w:qFormat/>
    <w:uiPriority w:val="10"/>
    <w:pPr>
      <w:spacing w:before="240" w:after="60"/>
      <w:jc w:val="center"/>
      <w:outlineLvl w:val="0"/>
    </w:pPr>
    <w:rPr>
      <w:rFonts w:asciiTheme="majorHAnsi" w:hAnsiTheme="majorHAnsi" w:cstheme="majorBidi"/>
      <w:b/>
      <w:bCs/>
      <w:sz w:val="32"/>
      <w:szCs w:val="32"/>
    </w:rPr>
  </w:style>
  <w:style w:type="paragraph" w:styleId="28">
    <w:name w:val="annotation subject"/>
    <w:basedOn w:val="10"/>
    <w:next w:val="10"/>
    <w:link w:val="63"/>
    <w:semiHidden/>
    <w:unhideWhenUsed/>
    <w:qFormat/>
    <w:uiPriority w:val="99"/>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endnote reference"/>
    <w:semiHidden/>
    <w:unhideWhenUsed/>
    <w:qFormat/>
    <w:uiPriority w:val="99"/>
    <w:rPr>
      <w:vertAlign w:val="superscript"/>
    </w:rPr>
  </w:style>
  <w:style w:type="character" w:styleId="34">
    <w:name w:val="page number"/>
    <w:basedOn w:val="31"/>
    <w:qFormat/>
    <w:uiPriority w:val="0"/>
  </w:style>
  <w:style w:type="character" w:styleId="35">
    <w:name w:val="FollowedHyperlink"/>
    <w:basedOn w:val="31"/>
    <w:semiHidden/>
    <w:unhideWhenUsed/>
    <w:qFormat/>
    <w:uiPriority w:val="99"/>
    <w:rPr>
      <w:color w:val="954F72" w:themeColor="followedHyperlink"/>
      <w:u w:val="single"/>
      <w14:textFill>
        <w14:solidFill>
          <w14:schemeClr w14:val="folHlink"/>
        </w14:solidFill>
      </w14:textFill>
    </w:rPr>
  </w:style>
  <w:style w:type="character" w:styleId="36">
    <w:name w:val="Hyperlink"/>
    <w:basedOn w:val="31"/>
    <w:unhideWhenUsed/>
    <w:qFormat/>
    <w:uiPriority w:val="99"/>
    <w:rPr>
      <w:color w:val="0563C1" w:themeColor="hyperlink"/>
      <w:u w:val="single"/>
      <w14:textFill>
        <w14:solidFill>
          <w14:schemeClr w14:val="hlink"/>
        </w14:solidFill>
      </w14:textFill>
    </w:rPr>
  </w:style>
  <w:style w:type="character" w:styleId="37">
    <w:name w:val="annotation reference"/>
    <w:semiHidden/>
    <w:unhideWhenUsed/>
    <w:qFormat/>
    <w:uiPriority w:val="99"/>
    <w:rPr>
      <w:sz w:val="21"/>
      <w:szCs w:val="21"/>
    </w:rPr>
  </w:style>
  <w:style w:type="character" w:styleId="38">
    <w:name w:val="footnote reference"/>
    <w:semiHidden/>
    <w:unhideWhenUsed/>
    <w:qFormat/>
    <w:uiPriority w:val="99"/>
    <w:rPr>
      <w:vertAlign w:val="superscript"/>
    </w:rPr>
  </w:style>
  <w:style w:type="character" w:customStyle="1" w:styleId="39">
    <w:name w:val="标题 1 Char"/>
    <w:basedOn w:val="31"/>
    <w:link w:val="3"/>
    <w:qFormat/>
    <w:uiPriority w:val="9"/>
    <w:rPr>
      <w:b/>
      <w:bCs/>
      <w:kern w:val="44"/>
      <w:sz w:val="44"/>
      <w:szCs w:val="44"/>
    </w:rPr>
  </w:style>
  <w:style w:type="character" w:customStyle="1" w:styleId="40">
    <w:name w:val="标题 2 Char"/>
    <w:basedOn w:val="31"/>
    <w:link w:val="4"/>
    <w:semiHidden/>
    <w:qFormat/>
    <w:uiPriority w:val="9"/>
    <w:rPr>
      <w:rFonts w:asciiTheme="majorHAnsi" w:hAnsiTheme="majorHAnsi" w:eastAsiaTheme="majorEastAsia" w:cstheme="majorBidi"/>
      <w:b/>
      <w:bCs/>
      <w:sz w:val="32"/>
      <w:szCs w:val="32"/>
    </w:rPr>
  </w:style>
  <w:style w:type="character" w:customStyle="1" w:styleId="41">
    <w:name w:val="标题 3 Char"/>
    <w:basedOn w:val="31"/>
    <w:link w:val="5"/>
    <w:semiHidden/>
    <w:qFormat/>
    <w:uiPriority w:val="9"/>
    <w:rPr>
      <w:b/>
      <w:bCs/>
      <w:sz w:val="32"/>
      <w:szCs w:val="32"/>
    </w:rPr>
  </w:style>
  <w:style w:type="character" w:customStyle="1" w:styleId="42">
    <w:name w:val="标题 4 Char"/>
    <w:basedOn w:val="31"/>
    <w:link w:val="6"/>
    <w:semiHidden/>
    <w:qFormat/>
    <w:uiPriority w:val="9"/>
    <w:rPr>
      <w:rFonts w:asciiTheme="majorHAnsi" w:hAnsiTheme="majorHAnsi" w:eastAsiaTheme="majorEastAsia" w:cstheme="majorBidi"/>
      <w:b/>
      <w:bCs/>
      <w:sz w:val="28"/>
      <w:szCs w:val="28"/>
    </w:rPr>
  </w:style>
  <w:style w:type="paragraph" w:customStyle="1" w:styleId="43">
    <w:name w:val="主标题"/>
    <w:basedOn w:val="3"/>
    <w:next w:val="8"/>
    <w:qFormat/>
    <w:uiPriority w:val="0"/>
    <w:pPr>
      <w:adjustRightInd w:val="0"/>
      <w:spacing w:line="578" w:lineRule="atLeast"/>
      <w:jc w:val="center"/>
      <w:outlineLvl w:val="9"/>
    </w:pPr>
    <w:rPr>
      <w:rFonts w:cs="Times New Roman"/>
    </w:rPr>
  </w:style>
  <w:style w:type="character" w:customStyle="1" w:styleId="44">
    <w:name w:val="注释标题 Char"/>
    <w:basedOn w:val="31"/>
    <w:link w:val="8"/>
    <w:semiHidden/>
    <w:qFormat/>
    <w:uiPriority w:val="99"/>
  </w:style>
  <w:style w:type="paragraph" w:customStyle="1" w:styleId="45">
    <w:name w:val="论文正文"/>
    <w:basedOn w:val="1"/>
    <w:link w:val="46"/>
    <w:qFormat/>
    <w:uiPriority w:val="0"/>
    <w:pPr>
      <w:spacing w:line="360" w:lineRule="auto"/>
      <w:ind w:firstLine="200" w:firstLineChars="200"/>
    </w:pPr>
  </w:style>
  <w:style w:type="character" w:customStyle="1" w:styleId="46">
    <w:name w:val="论文正文 Char"/>
    <w:basedOn w:val="31"/>
    <w:link w:val="45"/>
    <w:qFormat/>
    <w:uiPriority w:val="0"/>
    <w:rPr>
      <w:sz w:val="24"/>
    </w:rPr>
  </w:style>
  <w:style w:type="paragraph" w:customStyle="1" w:styleId="47">
    <w:name w:val="论文标题3"/>
    <w:basedOn w:val="6"/>
    <w:link w:val="48"/>
    <w:qFormat/>
    <w:uiPriority w:val="0"/>
    <w:pPr>
      <w:spacing w:before="130" w:after="260" w:line="415" w:lineRule="auto"/>
      <w:jc w:val="left"/>
    </w:pPr>
  </w:style>
  <w:style w:type="character" w:customStyle="1" w:styleId="48">
    <w:name w:val="论文标题3 Char"/>
    <w:basedOn w:val="31"/>
    <w:link w:val="47"/>
    <w:qFormat/>
    <w:uiPriority w:val="0"/>
    <w:rPr>
      <w:rFonts w:asciiTheme="majorHAnsi" w:hAnsiTheme="majorHAnsi" w:eastAsiaTheme="majorEastAsia" w:cstheme="majorBidi"/>
      <w:b/>
      <w:bCs/>
      <w:sz w:val="28"/>
      <w:szCs w:val="28"/>
    </w:rPr>
  </w:style>
  <w:style w:type="paragraph" w:customStyle="1" w:styleId="49">
    <w:name w:val="论文标题2"/>
    <w:basedOn w:val="5"/>
    <w:link w:val="50"/>
    <w:qFormat/>
    <w:uiPriority w:val="0"/>
    <w:pPr>
      <w:spacing w:before="130" w:after="130" w:line="415" w:lineRule="auto"/>
      <w:jc w:val="left"/>
    </w:pPr>
    <w:rPr>
      <w:sz w:val="24"/>
    </w:rPr>
  </w:style>
  <w:style w:type="character" w:customStyle="1" w:styleId="50">
    <w:name w:val="论文标题2 Char"/>
    <w:basedOn w:val="46"/>
    <w:link w:val="49"/>
    <w:qFormat/>
    <w:uiPriority w:val="0"/>
    <w:rPr>
      <w:b/>
      <w:bCs/>
      <w:sz w:val="24"/>
      <w:szCs w:val="32"/>
    </w:rPr>
  </w:style>
  <w:style w:type="paragraph" w:customStyle="1" w:styleId="51">
    <w:name w:val="论文标题1"/>
    <w:basedOn w:val="4"/>
    <w:link w:val="52"/>
    <w:qFormat/>
    <w:uiPriority w:val="0"/>
    <w:pPr>
      <w:spacing w:after="130" w:line="415" w:lineRule="auto"/>
      <w:jc w:val="left"/>
    </w:pPr>
    <w:rPr>
      <w:sz w:val="28"/>
    </w:rPr>
  </w:style>
  <w:style w:type="character" w:customStyle="1" w:styleId="52">
    <w:name w:val="论文标题1 Char"/>
    <w:basedOn w:val="40"/>
    <w:link w:val="51"/>
    <w:qFormat/>
    <w:uiPriority w:val="0"/>
    <w:rPr>
      <w:rFonts w:asciiTheme="majorHAnsi" w:hAnsiTheme="majorHAnsi" w:eastAsiaTheme="majorEastAsia" w:cstheme="majorBidi"/>
      <w:sz w:val="28"/>
      <w:szCs w:val="32"/>
    </w:rPr>
  </w:style>
  <w:style w:type="paragraph" w:customStyle="1" w:styleId="53">
    <w:name w:val="论文标题"/>
    <w:basedOn w:val="3"/>
    <w:link w:val="54"/>
    <w:qFormat/>
    <w:uiPriority w:val="0"/>
    <w:pPr>
      <w:spacing w:before="600" w:after="320"/>
      <w:jc w:val="center"/>
    </w:pPr>
    <w:rPr>
      <w:sz w:val="30"/>
    </w:rPr>
  </w:style>
  <w:style w:type="character" w:customStyle="1" w:styleId="54">
    <w:name w:val="论文标题 Char"/>
    <w:basedOn w:val="39"/>
    <w:link w:val="53"/>
    <w:qFormat/>
    <w:uiPriority w:val="0"/>
    <w:rPr>
      <w:kern w:val="44"/>
      <w:sz w:val="30"/>
      <w:szCs w:val="44"/>
    </w:rPr>
  </w:style>
  <w:style w:type="character" w:customStyle="1" w:styleId="55">
    <w:name w:val="页眉 Char"/>
    <w:basedOn w:val="31"/>
    <w:link w:val="20"/>
    <w:qFormat/>
    <w:uiPriority w:val="99"/>
    <w:rPr>
      <w:sz w:val="18"/>
      <w:szCs w:val="18"/>
    </w:rPr>
  </w:style>
  <w:style w:type="character" w:customStyle="1" w:styleId="56">
    <w:name w:val="页脚 Char"/>
    <w:basedOn w:val="31"/>
    <w:link w:val="19"/>
    <w:qFormat/>
    <w:uiPriority w:val="99"/>
    <w:rPr>
      <w:sz w:val="18"/>
      <w:szCs w:val="18"/>
    </w:rPr>
  </w:style>
  <w:style w:type="paragraph" w:customStyle="1" w:styleId="5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8">
    <w:name w:val="标题 Char"/>
    <w:basedOn w:val="31"/>
    <w:link w:val="27"/>
    <w:qFormat/>
    <w:uiPriority w:val="10"/>
    <w:rPr>
      <w:rFonts w:eastAsia="宋体" w:asciiTheme="majorHAnsi" w:hAnsiTheme="majorHAnsi" w:cstheme="majorBidi"/>
      <w:b/>
      <w:bCs/>
      <w:sz w:val="32"/>
      <w:szCs w:val="32"/>
    </w:rPr>
  </w:style>
  <w:style w:type="paragraph" w:styleId="59">
    <w:name w:val="List Paragraph"/>
    <w:basedOn w:val="1"/>
    <w:qFormat/>
    <w:uiPriority w:val="34"/>
    <w:pPr>
      <w:ind w:firstLine="420" w:firstLineChars="200"/>
    </w:p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61">
    <w:name w:val="日期 Char"/>
    <w:basedOn w:val="31"/>
    <w:link w:val="16"/>
    <w:semiHidden/>
    <w:qFormat/>
    <w:uiPriority w:val="99"/>
  </w:style>
  <w:style w:type="character" w:customStyle="1" w:styleId="62">
    <w:name w:val="批注文字 Char"/>
    <w:basedOn w:val="31"/>
    <w:link w:val="10"/>
    <w:semiHidden/>
    <w:qFormat/>
    <w:uiPriority w:val="99"/>
    <w:rPr>
      <w:rFonts w:ascii="Calibri" w:hAnsi="Calibri" w:cs="Times New Roman"/>
      <w:sz w:val="21"/>
    </w:rPr>
  </w:style>
  <w:style w:type="character" w:customStyle="1" w:styleId="63">
    <w:name w:val="批注主题 Char"/>
    <w:basedOn w:val="62"/>
    <w:link w:val="28"/>
    <w:semiHidden/>
    <w:qFormat/>
    <w:uiPriority w:val="99"/>
    <w:rPr>
      <w:rFonts w:ascii="Calibri" w:hAnsi="Calibri" w:cs="Times New Roman"/>
      <w:b/>
      <w:bCs/>
      <w:sz w:val="21"/>
    </w:rPr>
  </w:style>
  <w:style w:type="character" w:customStyle="1" w:styleId="64">
    <w:name w:val="批注框文本 Char"/>
    <w:basedOn w:val="31"/>
    <w:link w:val="18"/>
    <w:semiHidden/>
    <w:qFormat/>
    <w:uiPriority w:val="99"/>
    <w:rPr>
      <w:rFonts w:ascii="Calibri" w:hAnsi="Calibri" w:cs="Times New Roman"/>
      <w:sz w:val="18"/>
      <w:szCs w:val="18"/>
    </w:rPr>
  </w:style>
  <w:style w:type="character" w:customStyle="1" w:styleId="65">
    <w:name w:val="脚注文本 Char"/>
    <w:basedOn w:val="31"/>
    <w:link w:val="22"/>
    <w:semiHidden/>
    <w:qFormat/>
    <w:uiPriority w:val="99"/>
    <w:rPr>
      <w:rFonts w:ascii="Calibri" w:hAnsi="Calibri" w:cs="Times New Roman"/>
      <w:sz w:val="18"/>
      <w:szCs w:val="18"/>
    </w:rPr>
  </w:style>
  <w:style w:type="paragraph" w:customStyle="1" w:styleId="66">
    <w:name w:val="Revision"/>
    <w:hidden/>
    <w:semiHidden/>
    <w:qFormat/>
    <w:uiPriority w:val="99"/>
    <w:rPr>
      <w:rFonts w:ascii="Calibri" w:hAnsi="Calibri" w:eastAsia="宋体" w:cs="Times New Roman"/>
      <w:kern w:val="2"/>
      <w:sz w:val="21"/>
      <w:szCs w:val="22"/>
      <w:lang w:val="en-US" w:eastAsia="zh-CN" w:bidi="ar-SA"/>
    </w:rPr>
  </w:style>
  <w:style w:type="character" w:customStyle="1" w:styleId="67">
    <w:name w:val="尾注文本 Char"/>
    <w:basedOn w:val="31"/>
    <w:link w:val="17"/>
    <w:semiHidden/>
    <w:qFormat/>
    <w:uiPriority w:val="99"/>
    <w:rPr>
      <w:rFonts w:ascii="Calibri" w:hAnsi="Calibri" w:cs="Times New Roman"/>
      <w:sz w:val="21"/>
    </w:rPr>
  </w:style>
  <w:style w:type="paragraph" w:customStyle="1" w:styleId="68">
    <w:name w:val="列出段落11"/>
    <w:basedOn w:val="1"/>
    <w:link w:val="69"/>
    <w:qFormat/>
    <w:uiPriority w:val="0"/>
    <w:pPr>
      <w:ind w:firstLine="420" w:firstLineChars="200"/>
    </w:pPr>
    <w:rPr>
      <w:rFonts w:ascii="Calibri" w:hAnsi="Calibri" w:cs="Times New Roman"/>
      <w:sz w:val="21"/>
    </w:rPr>
  </w:style>
  <w:style w:type="character" w:customStyle="1" w:styleId="69">
    <w:name w:val="列出段落 Char1"/>
    <w:link w:val="68"/>
    <w:qFormat/>
    <w:uiPriority w:val="34"/>
    <w:rPr>
      <w:rFonts w:ascii="Calibri" w:hAnsi="Calibri" w:cs="Times New Roman"/>
      <w:sz w:val="21"/>
    </w:rPr>
  </w:style>
  <w:style w:type="character" w:customStyle="1" w:styleId="70">
    <w:name w:val="正文文本 Char"/>
    <w:basedOn w:val="31"/>
    <w:link w:val="11"/>
    <w:qFormat/>
    <w:uiPriority w:val="0"/>
    <w:rPr>
      <w:rFonts w:cs="Times New Roman"/>
      <w:sz w:val="21"/>
      <w:szCs w:val="24"/>
    </w:rPr>
  </w:style>
  <w:style w:type="paragraph" w:customStyle="1" w:styleId="71">
    <w:name w:val="我的正文"/>
    <w:basedOn w:val="1"/>
    <w:qFormat/>
    <w:uiPriority w:val="0"/>
    <w:pPr>
      <w:spacing w:line="360" w:lineRule="auto"/>
      <w:ind w:firstLine="560" w:firstLineChars="200"/>
    </w:pPr>
    <w:rPr>
      <w:rFonts w:ascii="宋体" w:hAnsi="宋体" w:cs="Times New Roman"/>
      <w:sz w:val="28"/>
      <w:szCs w:val="28"/>
    </w:rPr>
  </w:style>
  <w:style w:type="paragraph" w:customStyle="1" w:styleId="72">
    <w:name w:val="Table Paragraph"/>
    <w:basedOn w:val="1"/>
    <w:qFormat/>
    <w:uiPriority w:val="99"/>
    <w:pPr>
      <w:autoSpaceDE w:val="0"/>
      <w:autoSpaceDN w:val="0"/>
      <w:adjustRightInd w:val="0"/>
      <w:spacing w:line="360" w:lineRule="auto"/>
      <w:jc w:val="left"/>
    </w:pPr>
    <w:rPr>
      <w:rFonts w:ascii="宋体" w:hAnsi="宋体" w:eastAsia="仿宋" w:cs="宋体"/>
      <w:kern w:val="0"/>
      <w:sz w:val="22"/>
      <w:lang w:eastAsia="en-US"/>
    </w:rPr>
  </w:style>
  <w:style w:type="paragraph" w:customStyle="1" w:styleId="73">
    <w:name w:val="列出段落3"/>
    <w:basedOn w:val="1"/>
    <w:qFormat/>
    <w:uiPriority w:val="34"/>
    <w:pPr>
      <w:widowControl/>
      <w:ind w:firstLine="420" w:firstLineChars="200"/>
      <w:jc w:val="left"/>
    </w:pPr>
    <w:rPr>
      <w:rFonts w:cs="Times New Roman"/>
      <w:kern w:val="0"/>
      <w:szCs w:val="24"/>
    </w:rPr>
  </w:style>
  <w:style w:type="paragraph" w:customStyle="1" w:styleId="74">
    <w:name w:val="p19"/>
    <w:basedOn w:val="1"/>
    <w:qFormat/>
    <w:uiPriority w:val="0"/>
    <w:pPr>
      <w:widowControl/>
      <w:spacing w:line="360" w:lineRule="auto"/>
      <w:ind w:firstLine="420"/>
    </w:pPr>
    <w:rPr>
      <w:rFonts w:ascii="宋体" w:hAnsi="宋体" w:cs="宋体"/>
      <w:kern w:val="0"/>
      <w:szCs w:val="24"/>
    </w:rPr>
  </w:style>
  <w:style w:type="character" w:customStyle="1" w:styleId="75">
    <w:name w:val="纯文本 Char"/>
    <w:basedOn w:val="31"/>
    <w:link w:val="14"/>
    <w:qFormat/>
    <w:uiPriority w:val="0"/>
    <w:rPr>
      <w:rFonts w:ascii="宋体" w:hAnsi="Courier New" w:cs="Helv" w:eastAsiaTheme="minorEastAsia"/>
      <w:sz w:val="21"/>
      <w:szCs w:val="21"/>
    </w:rPr>
  </w:style>
  <w:style w:type="character" w:customStyle="1" w:styleId="76">
    <w:name w:val="样式 仿宋"/>
    <w:basedOn w:val="31"/>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4F972-BFEC-4E1F-A46D-20C40057274B}">
  <ds:schemaRefs/>
</ds:datastoreItem>
</file>

<file path=docProps/app.xml><?xml version="1.0" encoding="utf-8"?>
<Properties xmlns="http://schemas.openxmlformats.org/officeDocument/2006/extended-properties" xmlns:vt="http://schemas.openxmlformats.org/officeDocument/2006/docPropsVTypes">
  <Template>Normal</Template>
  <Company>xt256.com</Company>
  <Pages>22</Pages>
  <Words>8198</Words>
  <Characters>8511</Characters>
  <Lines>59</Lines>
  <Paragraphs>16</Paragraphs>
  <TotalTime>2</TotalTime>
  <ScaleCrop>false</ScaleCrop>
  <LinksUpToDate>false</LinksUpToDate>
  <CharactersWithSpaces>9518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2020-05-21T01:53:00Z</dcterms:created>
  <dc:creator>Administrator</dc:creator>
  <cp:lastModifiedBy>浮生</cp:lastModifiedBy>
  <cp:lastPrinted>2023-10-08T02:19:00Z</cp:lastPrinted>
  <dcterms:modified xsi:type="dcterms:W3CDTF">2023-10-09T08:24:25Z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F812F35BE1EC4C5DA305EC31D67C2FC7_13</vt:lpwstr>
  </property>
</Properties>
</file>